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F03D" w14:textId="77777777" w:rsidR="008F69DA" w:rsidRPr="008F69DA" w:rsidRDefault="008F69DA" w:rsidP="008F69DA">
      <w:pPr>
        <w:spacing w:after="0" w:line="240" w:lineRule="auto"/>
        <w:jc w:val="right"/>
        <w:rPr>
          <w:rFonts w:ascii="Times New Roman" w:hAnsi="Times New Roman"/>
          <w:sz w:val="24"/>
          <w:szCs w:val="24"/>
          <w:lang w:val="ro-MD"/>
        </w:rPr>
      </w:pPr>
      <w:r w:rsidRPr="008F69DA">
        <w:rPr>
          <w:rFonts w:ascii="Times New Roman" w:hAnsi="Times New Roman"/>
          <w:sz w:val="24"/>
          <w:szCs w:val="24"/>
          <w:lang w:val="ro-MD"/>
        </w:rPr>
        <w:t>UE</w:t>
      </w:r>
    </w:p>
    <w:p w14:paraId="2E04A187" w14:textId="77777777" w:rsidR="008F69DA" w:rsidRPr="00AC1642" w:rsidRDefault="008F69DA" w:rsidP="008F69DA">
      <w:pPr>
        <w:spacing w:after="0" w:line="240" w:lineRule="auto"/>
        <w:jc w:val="right"/>
        <w:rPr>
          <w:rFonts w:ascii="Times New Roman" w:eastAsia="Times New Roman" w:hAnsi="Times New Roman"/>
          <w:sz w:val="24"/>
          <w:szCs w:val="24"/>
          <w:lang w:val="ro-RO"/>
        </w:rPr>
      </w:pPr>
      <w:r w:rsidRPr="00AC1642">
        <w:rPr>
          <w:rFonts w:ascii="Times New Roman" w:eastAsia="Times New Roman" w:hAnsi="Times New Roman"/>
          <w:sz w:val="24"/>
          <w:szCs w:val="24"/>
          <w:lang w:val="ro-RO"/>
        </w:rPr>
        <w:t>Proiect</w:t>
      </w:r>
    </w:p>
    <w:p w14:paraId="619B1AE4" w14:textId="77777777" w:rsidR="008F69DA" w:rsidRPr="008F69DA" w:rsidRDefault="008F69DA" w:rsidP="008F69DA">
      <w:pPr>
        <w:spacing w:after="0" w:line="240" w:lineRule="auto"/>
        <w:jc w:val="center"/>
        <w:rPr>
          <w:rFonts w:ascii="Times New Roman" w:hAnsi="Times New Roman"/>
          <w:b/>
          <w:bCs/>
          <w:sz w:val="24"/>
          <w:szCs w:val="24"/>
          <w:lang w:val="ro-MD"/>
        </w:rPr>
      </w:pPr>
    </w:p>
    <w:p w14:paraId="166388A7" w14:textId="77777777" w:rsidR="008F69DA" w:rsidRPr="008F69DA" w:rsidRDefault="008F69DA" w:rsidP="008F69DA">
      <w:pPr>
        <w:spacing w:after="0" w:line="240" w:lineRule="auto"/>
        <w:jc w:val="center"/>
        <w:rPr>
          <w:rFonts w:ascii="Times New Roman" w:hAnsi="Times New Roman"/>
          <w:b/>
          <w:bCs/>
          <w:sz w:val="24"/>
          <w:szCs w:val="24"/>
          <w:lang w:val="ro-MD"/>
        </w:rPr>
      </w:pPr>
    </w:p>
    <w:p w14:paraId="037E30C2" w14:textId="77777777" w:rsidR="008F69DA" w:rsidRPr="008F69DA" w:rsidRDefault="008F69DA" w:rsidP="008F69DA">
      <w:pPr>
        <w:spacing w:after="0" w:line="240" w:lineRule="auto"/>
        <w:jc w:val="center"/>
        <w:rPr>
          <w:rFonts w:ascii="Times New Roman" w:hAnsi="Times New Roman"/>
          <w:b/>
          <w:sz w:val="24"/>
          <w:szCs w:val="24"/>
          <w:lang w:val="ro-MD" w:bidi="ro-RO"/>
        </w:rPr>
      </w:pPr>
      <w:r w:rsidRPr="008F69DA">
        <w:rPr>
          <w:rFonts w:ascii="Times New Roman" w:hAnsi="Times New Roman"/>
          <w:b/>
          <w:sz w:val="24"/>
          <w:szCs w:val="24"/>
          <w:lang w:val="ro-MD" w:bidi="ro-RO"/>
        </w:rPr>
        <w:t>COMITETUL EXECUTIV</w:t>
      </w:r>
    </w:p>
    <w:p w14:paraId="1B213DE6" w14:textId="77777777" w:rsidR="008F69DA" w:rsidRPr="008F69DA" w:rsidRDefault="008F69DA" w:rsidP="008F69DA">
      <w:pPr>
        <w:spacing w:after="0" w:line="240" w:lineRule="auto"/>
        <w:jc w:val="center"/>
        <w:rPr>
          <w:rFonts w:ascii="Times New Roman" w:hAnsi="Times New Roman"/>
          <w:b/>
          <w:sz w:val="24"/>
          <w:szCs w:val="24"/>
          <w:lang w:val="ro-MD" w:bidi="ro-RO"/>
        </w:rPr>
      </w:pPr>
      <w:r w:rsidRPr="008F69DA">
        <w:rPr>
          <w:rFonts w:ascii="Times New Roman" w:hAnsi="Times New Roman"/>
          <w:b/>
          <w:sz w:val="24"/>
          <w:szCs w:val="24"/>
          <w:lang w:val="ro-MD" w:bidi="ro-RO"/>
        </w:rPr>
        <w:t>AL BĂNCII NAȚIONALE A MOLDOVEI</w:t>
      </w:r>
    </w:p>
    <w:p w14:paraId="53440802" w14:textId="45C81553" w:rsidR="00DD14D7" w:rsidRPr="008F69DA" w:rsidRDefault="00DD14D7" w:rsidP="001318C5">
      <w:pPr>
        <w:spacing w:after="0" w:line="240" w:lineRule="auto"/>
        <w:jc w:val="center"/>
        <w:rPr>
          <w:rFonts w:ascii="Times New Roman" w:hAnsi="Times New Roman"/>
          <w:b/>
          <w:sz w:val="24"/>
          <w:szCs w:val="24"/>
          <w:lang w:val="ro-MD"/>
        </w:rPr>
      </w:pPr>
    </w:p>
    <w:p w14:paraId="73F4118F" w14:textId="77777777" w:rsidR="00DD14D7" w:rsidRDefault="00DD14D7" w:rsidP="001318C5">
      <w:pPr>
        <w:spacing w:after="0" w:line="240" w:lineRule="auto"/>
        <w:jc w:val="center"/>
        <w:rPr>
          <w:rFonts w:ascii="Times New Roman" w:hAnsi="Times New Roman"/>
          <w:b/>
          <w:sz w:val="24"/>
          <w:szCs w:val="24"/>
          <w:lang w:val="ro-RO"/>
        </w:rPr>
      </w:pPr>
    </w:p>
    <w:p w14:paraId="75529D2C" w14:textId="77777777" w:rsidR="00DD14D7" w:rsidRDefault="00DD14D7" w:rsidP="001318C5">
      <w:pPr>
        <w:spacing w:after="0" w:line="240" w:lineRule="auto"/>
        <w:jc w:val="center"/>
        <w:rPr>
          <w:rFonts w:ascii="Times New Roman" w:hAnsi="Times New Roman"/>
          <w:b/>
          <w:sz w:val="24"/>
          <w:szCs w:val="24"/>
          <w:lang w:val="ro-RO"/>
        </w:rPr>
      </w:pPr>
      <w:r>
        <w:rPr>
          <w:rFonts w:ascii="Times New Roman" w:hAnsi="Times New Roman"/>
          <w:b/>
          <w:sz w:val="24"/>
          <w:szCs w:val="24"/>
          <w:lang w:val="ro-RO"/>
        </w:rPr>
        <w:t>HOTĂRÂREA nr.</w:t>
      </w:r>
    </w:p>
    <w:p w14:paraId="7D64957F" w14:textId="77777777" w:rsidR="00DD14D7" w:rsidRDefault="00DD14D7" w:rsidP="001318C5">
      <w:pPr>
        <w:spacing w:after="0" w:line="240" w:lineRule="auto"/>
        <w:jc w:val="center"/>
        <w:rPr>
          <w:rFonts w:ascii="Times New Roman" w:hAnsi="Times New Roman"/>
          <w:b/>
          <w:sz w:val="24"/>
          <w:szCs w:val="24"/>
          <w:lang w:val="ro-RO"/>
        </w:rPr>
      </w:pPr>
      <w:r>
        <w:rPr>
          <w:rFonts w:ascii="Times New Roman" w:hAnsi="Times New Roman"/>
          <w:b/>
          <w:sz w:val="24"/>
          <w:szCs w:val="24"/>
          <w:lang w:val="ro-RO"/>
        </w:rPr>
        <w:t>din_________________</w:t>
      </w:r>
    </w:p>
    <w:p w14:paraId="16C8145D" w14:textId="77777777" w:rsidR="00DD14D7" w:rsidRDefault="00DD14D7" w:rsidP="001318C5">
      <w:pPr>
        <w:spacing w:after="0" w:line="240" w:lineRule="auto"/>
        <w:jc w:val="center"/>
        <w:rPr>
          <w:rFonts w:ascii="Times New Roman" w:hAnsi="Times New Roman"/>
          <w:b/>
          <w:sz w:val="24"/>
          <w:szCs w:val="24"/>
          <w:lang w:val="ro-RO"/>
        </w:rPr>
      </w:pPr>
    </w:p>
    <w:p w14:paraId="43667354" w14:textId="0F497A05" w:rsidR="00DD14D7" w:rsidRPr="00DD14D7" w:rsidRDefault="0061451E" w:rsidP="001318C5">
      <w:pPr>
        <w:spacing w:after="0" w:line="240" w:lineRule="auto"/>
        <w:jc w:val="center"/>
        <w:rPr>
          <w:rFonts w:ascii="Times New Roman" w:hAnsi="Times New Roman"/>
          <w:b/>
          <w:sz w:val="24"/>
          <w:szCs w:val="24"/>
          <w:lang w:val="ro-MD"/>
        </w:rPr>
      </w:pPr>
      <w:r>
        <w:rPr>
          <w:rFonts w:ascii="Times New Roman" w:hAnsi="Times New Roman"/>
          <w:b/>
          <w:sz w:val="24"/>
          <w:szCs w:val="24"/>
          <w:lang w:val="ro-RO"/>
        </w:rPr>
        <w:t>P</w:t>
      </w:r>
      <w:r w:rsidR="00DD14D7">
        <w:rPr>
          <w:rFonts w:ascii="Times New Roman" w:hAnsi="Times New Roman"/>
          <w:b/>
          <w:sz w:val="24"/>
          <w:szCs w:val="24"/>
          <w:lang w:val="ro-RO"/>
        </w:rPr>
        <w:t xml:space="preserve">entru modificarea unor acte normative ale </w:t>
      </w:r>
      <w:r w:rsidR="00DD14D7">
        <w:rPr>
          <w:rFonts w:ascii="Times New Roman" w:hAnsi="Times New Roman"/>
          <w:b/>
          <w:sz w:val="24"/>
          <w:szCs w:val="24"/>
          <w:lang w:val="ro-MD"/>
        </w:rPr>
        <w:t>Băncii Naționale a Moldovei</w:t>
      </w:r>
    </w:p>
    <w:p w14:paraId="14C1E491" w14:textId="4BF2065B" w:rsidR="00DD14D7" w:rsidRDefault="00DD14D7" w:rsidP="001318C5">
      <w:pPr>
        <w:spacing w:after="0" w:line="240" w:lineRule="auto"/>
        <w:jc w:val="center"/>
        <w:rPr>
          <w:rFonts w:ascii="Times New Roman" w:hAnsi="Times New Roman"/>
          <w:b/>
          <w:sz w:val="24"/>
          <w:szCs w:val="24"/>
          <w:lang w:val="ro-RO"/>
        </w:rPr>
      </w:pPr>
      <w:r>
        <w:rPr>
          <w:rFonts w:ascii="Times New Roman" w:hAnsi="Times New Roman"/>
          <w:b/>
          <w:sz w:val="24"/>
          <w:szCs w:val="24"/>
          <w:lang w:val="ro-RO"/>
        </w:rPr>
        <w:t>(modificarea Regulamentului cu privire la tratamentul</w:t>
      </w:r>
    </w:p>
    <w:p w14:paraId="6483BDE0" w14:textId="77777777" w:rsidR="00DD14D7" w:rsidRPr="00DD14D7" w:rsidRDefault="00DD14D7" w:rsidP="001318C5">
      <w:pPr>
        <w:spacing w:after="0" w:line="240" w:lineRule="auto"/>
        <w:jc w:val="center"/>
        <w:rPr>
          <w:rFonts w:ascii="Times New Roman" w:hAnsi="Times New Roman"/>
          <w:b/>
          <w:bCs/>
          <w:sz w:val="24"/>
          <w:szCs w:val="24"/>
          <w:lang w:val="ro-MD"/>
        </w:rPr>
      </w:pPr>
      <w:r>
        <w:rPr>
          <w:rFonts w:ascii="Times New Roman" w:hAnsi="Times New Roman"/>
          <w:b/>
          <w:sz w:val="24"/>
          <w:szCs w:val="24"/>
          <w:lang w:val="ro-RO"/>
        </w:rPr>
        <w:t xml:space="preserve">riscului de decontare/livrare pentru bănci și </w:t>
      </w:r>
      <w:r w:rsidRPr="00DD14D7">
        <w:rPr>
          <w:rFonts w:ascii="Times New Roman" w:hAnsi="Times New Roman"/>
          <w:b/>
          <w:bCs/>
          <w:sz w:val="24"/>
          <w:szCs w:val="24"/>
          <w:lang w:val="ro-MD"/>
        </w:rPr>
        <w:t>Regulamentului cu privire</w:t>
      </w:r>
    </w:p>
    <w:p w14:paraId="2D18218E" w14:textId="77777777" w:rsidR="00DD14D7" w:rsidRPr="00DD14D7" w:rsidRDefault="00DD14D7" w:rsidP="001318C5">
      <w:pPr>
        <w:spacing w:after="0" w:line="240" w:lineRule="auto"/>
        <w:jc w:val="center"/>
        <w:rPr>
          <w:rFonts w:ascii="Times New Roman" w:hAnsi="Times New Roman"/>
          <w:b/>
          <w:bCs/>
          <w:sz w:val="24"/>
          <w:szCs w:val="24"/>
          <w:lang w:val="ro-MD"/>
        </w:rPr>
      </w:pPr>
      <w:r w:rsidRPr="00DD14D7">
        <w:rPr>
          <w:rFonts w:ascii="Times New Roman" w:hAnsi="Times New Roman"/>
          <w:b/>
          <w:bCs/>
          <w:sz w:val="24"/>
          <w:szCs w:val="24"/>
          <w:lang w:val="ro-MD"/>
        </w:rPr>
        <w:t>la calculul de către bănci al ajustărilor specifice</w:t>
      </w:r>
    </w:p>
    <w:p w14:paraId="6D6A4BAA" w14:textId="14F5B222" w:rsidR="00DD14D7" w:rsidRDefault="00DD14D7" w:rsidP="001318C5">
      <w:pPr>
        <w:spacing w:after="0" w:line="240" w:lineRule="auto"/>
        <w:jc w:val="center"/>
        <w:rPr>
          <w:rFonts w:ascii="Times New Roman" w:hAnsi="Times New Roman"/>
          <w:b/>
          <w:sz w:val="24"/>
          <w:szCs w:val="24"/>
          <w:lang w:val="ro-RO"/>
        </w:rPr>
      </w:pPr>
      <w:proofErr w:type="spellStart"/>
      <w:r w:rsidRPr="00DD14D7">
        <w:rPr>
          <w:rFonts w:ascii="Times New Roman" w:hAnsi="Times New Roman"/>
          <w:b/>
          <w:bCs/>
          <w:sz w:val="24"/>
          <w:szCs w:val="24"/>
          <w:lang w:val="ro-MD"/>
        </w:rPr>
        <w:t>şi</w:t>
      </w:r>
      <w:proofErr w:type="spellEnd"/>
      <w:r w:rsidRPr="00DD14D7">
        <w:rPr>
          <w:rFonts w:ascii="Times New Roman" w:hAnsi="Times New Roman"/>
          <w:b/>
          <w:bCs/>
          <w:sz w:val="24"/>
          <w:szCs w:val="24"/>
          <w:lang w:val="ro-MD"/>
        </w:rPr>
        <w:t xml:space="preserve"> al ajustărilor generale pentru riscul de credit</w:t>
      </w:r>
      <w:r>
        <w:rPr>
          <w:rFonts w:ascii="Times New Roman" w:hAnsi="Times New Roman"/>
          <w:b/>
          <w:bCs/>
          <w:sz w:val="24"/>
          <w:szCs w:val="24"/>
          <w:lang w:val="ro-MD"/>
        </w:rPr>
        <w:t>)</w:t>
      </w:r>
    </w:p>
    <w:p w14:paraId="21E5B36B" w14:textId="77777777" w:rsidR="00DD14D7" w:rsidRPr="008C64B5" w:rsidRDefault="00DD14D7" w:rsidP="001318C5">
      <w:pPr>
        <w:spacing w:after="0" w:line="240" w:lineRule="auto"/>
        <w:jc w:val="both"/>
        <w:rPr>
          <w:rFonts w:ascii="Times New Roman" w:hAnsi="Times New Roman"/>
          <w:b/>
          <w:sz w:val="24"/>
          <w:szCs w:val="24"/>
          <w:lang w:val="ro-RO"/>
        </w:rPr>
      </w:pPr>
    </w:p>
    <w:p w14:paraId="0420D0B0" w14:textId="67635F49" w:rsidR="00DD14D7" w:rsidRPr="008C64B5" w:rsidRDefault="00DD14D7" w:rsidP="001318C5">
      <w:pPr>
        <w:tabs>
          <w:tab w:val="left" w:pos="1134"/>
        </w:tabs>
        <w:spacing w:after="0" w:line="240" w:lineRule="auto"/>
        <w:ind w:firstLine="567"/>
        <w:jc w:val="both"/>
        <w:rPr>
          <w:rFonts w:ascii="Times New Roman" w:hAnsi="Times New Roman"/>
          <w:sz w:val="24"/>
          <w:szCs w:val="24"/>
          <w:lang w:val="ro-RO" w:eastAsia="ru-RU"/>
        </w:rPr>
      </w:pPr>
      <w:r w:rsidRPr="008C64B5">
        <w:rPr>
          <w:rFonts w:ascii="Times New Roman" w:hAnsi="Times New Roman"/>
          <w:sz w:val="24"/>
          <w:szCs w:val="24"/>
          <w:lang w:val="ro-RO" w:eastAsia="ru-RU"/>
        </w:rPr>
        <w:t>În temeiul art.</w:t>
      </w:r>
      <w:r w:rsidR="008C64B5" w:rsidRPr="008C64B5">
        <w:rPr>
          <w:rFonts w:ascii="Times New Roman" w:hAnsi="Times New Roman"/>
          <w:sz w:val="24"/>
          <w:szCs w:val="24"/>
          <w:lang w:val="ro-RO" w:eastAsia="ru-RU"/>
        </w:rPr>
        <w:t xml:space="preserve">64 și </w:t>
      </w:r>
      <w:r w:rsidRPr="008C64B5">
        <w:rPr>
          <w:rFonts w:ascii="Times New Roman" w:hAnsi="Times New Roman"/>
          <w:sz w:val="24"/>
          <w:szCs w:val="24"/>
          <w:lang w:val="ro-RO" w:eastAsia="ru-RU"/>
        </w:rPr>
        <w:t xml:space="preserve">71 din </w:t>
      </w:r>
      <w:r w:rsidRPr="008C64B5">
        <w:rPr>
          <w:rStyle w:val="Strong"/>
          <w:rFonts w:ascii="Times New Roman" w:hAnsi="Times New Roman"/>
          <w:b w:val="0"/>
          <w:sz w:val="24"/>
          <w:szCs w:val="24"/>
          <w:lang w:val="ro-RO"/>
        </w:rPr>
        <w:t>Legea privind activitatea băncilor nr. 202</w:t>
      </w:r>
      <w:r w:rsidR="0061451E">
        <w:rPr>
          <w:rStyle w:val="Strong"/>
          <w:rFonts w:ascii="Times New Roman" w:hAnsi="Times New Roman"/>
          <w:b w:val="0"/>
          <w:sz w:val="24"/>
          <w:szCs w:val="24"/>
          <w:lang w:val="ro-RO"/>
        </w:rPr>
        <w:t>/ 2017</w:t>
      </w:r>
      <w:r w:rsidRPr="008C64B5">
        <w:rPr>
          <w:rStyle w:val="Strong"/>
          <w:rFonts w:ascii="Times New Roman" w:hAnsi="Times New Roman"/>
          <w:b w:val="0"/>
          <w:sz w:val="24"/>
          <w:szCs w:val="24"/>
          <w:lang w:val="ro-RO"/>
        </w:rPr>
        <w:t xml:space="preserve"> </w:t>
      </w:r>
      <w:r w:rsidRPr="008C64B5">
        <w:rPr>
          <w:rFonts w:ascii="Times New Roman" w:hAnsi="Times New Roman"/>
          <w:sz w:val="24"/>
          <w:szCs w:val="24"/>
          <w:lang w:val="ro-RO" w:eastAsia="ru-RU"/>
        </w:rPr>
        <w:t>(Monitorul Oficial al Republicii Moldova 2017, nr.434-439, art.727),</w:t>
      </w:r>
      <w:r w:rsidRPr="008C64B5">
        <w:rPr>
          <w:rFonts w:ascii="Times New Roman" w:hAnsi="Times New Roman"/>
          <w:sz w:val="24"/>
          <w:szCs w:val="24"/>
          <w:lang w:val="ro-RO"/>
        </w:rPr>
        <w:t xml:space="preserve"> cu modificările </w:t>
      </w:r>
      <w:proofErr w:type="spellStart"/>
      <w:r w:rsidRPr="008C64B5">
        <w:rPr>
          <w:rFonts w:ascii="Times New Roman" w:hAnsi="Times New Roman"/>
          <w:sz w:val="24"/>
          <w:szCs w:val="24"/>
          <w:lang w:val="ro-RO"/>
        </w:rPr>
        <w:t>şi</w:t>
      </w:r>
      <w:proofErr w:type="spellEnd"/>
      <w:r w:rsidRPr="008C64B5">
        <w:rPr>
          <w:rFonts w:ascii="Times New Roman" w:hAnsi="Times New Roman"/>
          <w:sz w:val="24"/>
          <w:szCs w:val="24"/>
          <w:lang w:val="ro-RO"/>
        </w:rPr>
        <w:t xml:space="preserve"> completările ulterioare,</w:t>
      </w:r>
      <w:r w:rsidRPr="008C64B5">
        <w:rPr>
          <w:rFonts w:ascii="Times New Roman" w:hAnsi="Times New Roman"/>
          <w:sz w:val="24"/>
          <w:szCs w:val="24"/>
          <w:lang w:val="ro-RO" w:eastAsia="ru-RU"/>
        </w:rPr>
        <w:t xml:space="preserve"> </w:t>
      </w:r>
      <w:r w:rsidRPr="008C64B5">
        <w:rPr>
          <w:rFonts w:ascii="Times New Roman" w:hAnsi="Times New Roman"/>
          <w:sz w:val="24"/>
          <w:szCs w:val="24"/>
          <w:lang w:val="ro-RO"/>
        </w:rPr>
        <w:t xml:space="preserve">Comitetul executiv </w:t>
      </w:r>
      <w:r w:rsidRPr="008C64B5">
        <w:rPr>
          <w:rFonts w:ascii="Times New Roman" w:hAnsi="Times New Roman"/>
          <w:sz w:val="24"/>
          <w:szCs w:val="24"/>
          <w:lang w:val="ro-RO" w:eastAsia="ru-RU"/>
        </w:rPr>
        <w:t xml:space="preserve">al Băncii </w:t>
      </w:r>
      <w:proofErr w:type="spellStart"/>
      <w:r w:rsidRPr="008C64B5">
        <w:rPr>
          <w:rFonts w:ascii="Times New Roman" w:hAnsi="Times New Roman"/>
          <w:sz w:val="24"/>
          <w:szCs w:val="24"/>
          <w:lang w:val="ro-RO" w:eastAsia="ru-RU"/>
        </w:rPr>
        <w:t>Naţionale</w:t>
      </w:r>
      <w:proofErr w:type="spellEnd"/>
      <w:r w:rsidRPr="008C64B5">
        <w:rPr>
          <w:rFonts w:ascii="Times New Roman" w:hAnsi="Times New Roman"/>
          <w:sz w:val="24"/>
          <w:szCs w:val="24"/>
          <w:lang w:val="ro-RO" w:eastAsia="ru-RU"/>
        </w:rPr>
        <w:t xml:space="preserve"> a Moldovei </w:t>
      </w:r>
    </w:p>
    <w:p w14:paraId="79F2A7FB" w14:textId="77777777" w:rsidR="00DD14D7" w:rsidRDefault="00DD14D7" w:rsidP="001318C5">
      <w:pPr>
        <w:tabs>
          <w:tab w:val="left" w:pos="1134"/>
        </w:tabs>
        <w:spacing w:after="0" w:line="240" w:lineRule="auto"/>
        <w:ind w:firstLine="567"/>
        <w:jc w:val="both"/>
        <w:rPr>
          <w:rFonts w:ascii="Times New Roman" w:hAnsi="Times New Roman"/>
          <w:sz w:val="24"/>
          <w:szCs w:val="24"/>
          <w:lang w:val="ro-RO" w:eastAsia="ru-RU"/>
        </w:rPr>
      </w:pPr>
    </w:p>
    <w:p w14:paraId="6D23434A" w14:textId="77777777" w:rsidR="00DD14D7" w:rsidRDefault="00DD14D7" w:rsidP="001318C5">
      <w:pPr>
        <w:tabs>
          <w:tab w:val="left" w:pos="1134"/>
        </w:tabs>
        <w:spacing w:after="0" w:line="240" w:lineRule="auto"/>
        <w:ind w:firstLine="567"/>
        <w:jc w:val="both"/>
        <w:rPr>
          <w:rFonts w:ascii="Times New Roman" w:hAnsi="Times New Roman"/>
          <w:b/>
          <w:sz w:val="24"/>
          <w:szCs w:val="24"/>
          <w:lang w:val="ro-RO" w:eastAsia="ru-RU"/>
        </w:rPr>
      </w:pPr>
    </w:p>
    <w:p w14:paraId="7CD95881" w14:textId="77777777" w:rsidR="00DD14D7" w:rsidRDefault="00DD14D7" w:rsidP="008C64B5">
      <w:pPr>
        <w:tabs>
          <w:tab w:val="left" w:pos="1134"/>
        </w:tabs>
        <w:spacing w:after="0" w:line="240" w:lineRule="auto"/>
        <w:ind w:firstLine="567"/>
        <w:jc w:val="center"/>
        <w:rPr>
          <w:rFonts w:ascii="Times New Roman" w:hAnsi="Times New Roman"/>
          <w:b/>
          <w:sz w:val="24"/>
          <w:szCs w:val="24"/>
          <w:lang w:val="ro-RO" w:eastAsia="ru-RU"/>
        </w:rPr>
      </w:pPr>
      <w:r>
        <w:rPr>
          <w:rFonts w:ascii="Times New Roman" w:hAnsi="Times New Roman"/>
          <w:b/>
          <w:sz w:val="24"/>
          <w:szCs w:val="24"/>
          <w:lang w:val="ro-RO" w:eastAsia="ru-RU"/>
        </w:rPr>
        <w:t>HOTĂRĂŞTE:</w:t>
      </w:r>
    </w:p>
    <w:p w14:paraId="392538FC" w14:textId="77777777" w:rsidR="00DD14D7" w:rsidRDefault="00DD14D7" w:rsidP="001318C5">
      <w:pPr>
        <w:tabs>
          <w:tab w:val="left" w:pos="1134"/>
        </w:tabs>
        <w:spacing w:after="0" w:line="240" w:lineRule="auto"/>
        <w:ind w:firstLine="567"/>
        <w:jc w:val="both"/>
        <w:rPr>
          <w:rFonts w:ascii="Times New Roman" w:hAnsi="Times New Roman"/>
          <w:b/>
          <w:sz w:val="24"/>
          <w:szCs w:val="24"/>
          <w:lang w:val="ro-RO" w:eastAsia="ru-RU"/>
        </w:rPr>
      </w:pPr>
    </w:p>
    <w:p w14:paraId="09B9E491" w14:textId="77777777" w:rsidR="00D44D2C" w:rsidRPr="008F69DA" w:rsidRDefault="00DD14D7" w:rsidP="008C64B5">
      <w:pPr>
        <w:pStyle w:val="ListParagraph"/>
        <w:numPr>
          <w:ilvl w:val="0"/>
          <w:numId w:val="1"/>
        </w:numPr>
        <w:tabs>
          <w:tab w:val="left" w:pos="284"/>
        </w:tabs>
        <w:ind w:left="0" w:firstLine="0"/>
        <w:jc w:val="both"/>
        <w:rPr>
          <w:vertAlign w:val="superscript"/>
          <w:lang w:val="ro-RO"/>
        </w:rPr>
      </w:pPr>
      <w:r>
        <w:rPr>
          <w:lang w:val="ro-RO"/>
        </w:rPr>
        <w:t>Regulamentul cu privire la tratamentul riscului de decontare/livrare pentru bănci, aprobat prin Hotărârea Comitetului executiv al Băncii Naționale a Moldovei nr.</w:t>
      </w:r>
      <w:r w:rsidR="003D240F">
        <w:rPr>
          <w:lang w:val="ro-RO"/>
        </w:rPr>
        <w:t>115/2018 (</w:t>
      </w:r>
      <w:r w:rsidR="003D240F" w:rsidRPr="008F69DA">
        <w:rPr>
          <w:lang w:val="ro-RO"/>
        </w:rPr>
        <w:t>Monitorul Oficial al R. Moldova nr. 183-194 art. 905 din 08.06.2018),</w:t>
      </w:r>
      <w:r w:rsidR="003D240F" w:rsidRPr="008F69DA">
        <w:rPr>
          <w:rFonts w:ascii="Arial" w:eastAsia="Calibri" w:hAnsi="Arial" w:cs="Arial"/>
          <w:sz w:val="22"/>
          <w:szCs w:val="22"/>
          <w:lang w:val="ro-RO" w:eastAsia="en-US"/>
        </w:rPr>
        <w:t xml:space="preserve"> </w:t>
      </w:r>
      <w:r w:rsidR="003D240F" w:rsidRPr="008F69DA">
        <w:rPr>
          <w:lang w:val="ro-RO"/>
        </w:rPr>
        <w:t xml:space="preserve">înregistrat la Ministerul </w:t>
      </w:r>
      <w:proofErr w:type="spellStart"/>
      <w:r w:rsidR="003D240F" w:rsidRPr="008F69DA">
        <w:rPr>
          <w:lang w:val="ro-RO"/>
        </w:rPr>
        <w:t>Justiţiei</w:t>
      </w:r>
      <w:proofErr w:type="spellEnd"/>
      <w:r w:rsidR="003D240F" w:rsidRPr="008F69DA">
        <w:rPr>
          <w:lang w:val="ro-RO"/>
        </w:rPr>
        <w:t xml:space="preserve"> al Republicii Moldova cu nr.1581/2020, se modifică după cum urmează:</w:t>
      </w:r>
    </w:p>
    <w:p w14:paraId="53C19D79" w14:textId="77777777" w:rsidR="001C52FD" w:rsidRPr="008F69DA" w:rsidRDefault="0031209A" w:rsidP="008C64B5">
      <w:pPr>
        <w:pStyle w:val="ListParagraph"/>
        <w:tabs>
          <w:tab w:val="left" w:pos="284"/>
        </w:tabs>
        <w:ind w:left="0" w:firstLine="284"/>
        <w:jc w:val="both"/>
        <w:rPr>
          <w:lang w:val="ro-RO"/>
        </w:rPr>
      </w:pPr>
      <w:r w:rsidRPr="008F69DA">
        <w:rPr>
          <w:lang w:val="ro-RO"/>
        </w:rPr>
        <w:t xml:space="preserve">1.1. </w:t>
      </w:r>
      <w:r w:rsidR="001C52FD">
        <w:rPr>
          <w:lang w:val="ro-MD"/>
        </w:rPr>
        <w:t>c</w:t>
      </w:r>
      <w:proofErr w:type="spellStart"/>
      <w:r w:rsidR="001C52FD" w:rsidRPr="008F69DA">
        <w:rPr>
          <w:lang w:val="ro-RO"/>
        </w:rPr>
        <w:t>lauza</w:t>
      </w:r>
      <w:proofErr w:type="spellEnd"/>
      <w:r w:rsidR="001C52FD" w:rsidRPr="008F69DA">
        <w:rPr>
          <w:lang w:val="ro-RO"/>
        </w:rPr>
        <w:t xml:space="preserve"> de armonizare va avea următorul cuprins:</w:t>
      </w:r>
    </w:p>
    <w:p w14:paraId="6407F994" w14:textId="625A70CE" w:rsidR="00DD14D7" w:rsidRPr="008F69DA" w:rsidRDefault="001C52FD" w:rsidP="001C52FD">
      <w:pPr>
        <w:pStyle w:val="ListParagraph"/>
        <w:tabs>
          <w:tab w:val="left" w:pos="284"/>
        </w:tabs>
        <w:ind w:left="284"/>
        <w:jc w:val="both"/>
        <w:rPr>
          <w:lang w:val="ro-RO"/>
        </w:rPr>
      </w:pPr>
      <w:r w:rsidRPr="008F69DA">
        <w:rPr>
          <w:lang w:val="ro-RO"/>
        </w:rPr>
        <w:t>„</w:t>
      </w:r>
      <w:r w:rsidRPr="001C52FD">
        <w:rPr>
          <w:lang w:val="ro-MD" w:eastAsia="ro-MD"/>
        </w:rPr>
        <w:t xml:space="preserve"> </w:t>
      </w:r>
      <w:r w:rsidRPr="001C52FD">
        <w:rPr>
          <w:lang w:val="ro-MD"/>
        </w:rPr>
        <w:t xml:space="preserve">Prezentul regulament transpune art.378 -380 din </w:t>
      </w:r>
      <w:r w:rsidRPr="00C50341">
        <w:rPr>
          <w:bCs/>
          <w:iCs/>
          <w:lang w:val="ro-MD"/>
        </w:rPr>
        <w:t xml:space="preserve">Regulamentul nr. 575/2013 al Parlamentului European și al Consiliului din 26 iunie 2013 privind cerințele prudențiale pentru instituțiile de credit și de modificare a Regulamentului (UE) nr. 648/2012, publicat în Jurnalul Oficial al Uniuni Europene L 176 din 27 iunie 2013, CELEX: </w:t>
      </w:r>
      <w:bookmarkStart w:id="0" w:name="_Hlk213079404"/>
      <w:r w:rsidR="00F313DE" w:rsidRPr="008F69DA">
        <w:rPr>
          <w:bCs/>
          <w:iCs/>
          <w:lang w:val="ro-RO"/>
        </w:rPr>
        <w:t>32013R0575</w:t>
      </w:r>
      <w:bookmarkEnd w:id="0"/>
      <w:r w:rsidRPr="00C50341">
        <w:rPr>
          <w:bCs/>
          <w:iCs/>
          <w:lang w:val="ro-MD"/>
        </w:rPr>
        <w:t xml:space="preserve">, așa cum a fost modificat ultima dată prin Regulamentul (UE) </w:t>
      </w:r>
      <w:r w:rsidR="003D7D1D" w:rsidRPr="00C50341">
        <w:rPr>
          <w:bCs/>
          <w:iCs/>
          <w:lang w:val="ro-MD"/>
        </w:rPr>
        <w:t>202</w:t>
      </w:r>
      <w:r w:rsidR="003D7D1D">
        <w:rPr>
          <w:bCs/>
          <w:iCs/>
          <w:lang w:val="ro-MD"/>
        </w:rPr>
        <w:t>4</w:t>
      </w:r>
      <w:r w:rsidRPr="00C50341">
        <w:rPr>
          <w:bCs/>
          <w:iCs/>
          <w:lang w:val="ro-MD"/>
        </w:rPr>
        <w:t>/</w:t>
      </w:r>
      <w:r w:rsidR="003D7D1D">
        <w:rPr>
          <w:bCs/>
          <w:iCs/>
          <w:lang w:val="ro-MD"/>
        </w:rPr>
        <w:t>1623</w:t>
      </w:r>
      <w:r w:rsidR="003D7D1D" w:rsidRPr="00C50341">
        <w:rPr>
          <w:bCs/>
          <w:iCs/>
          <w:lang w:val="ro-MD"/>
        </w:rPr>
        <w:t xml:space="preserve"> </w:t>
      </w:r>
      <w:r w:rsidRPr="00C50341">
        <w:rPr>
          <w:bCs/>
          <w:iCs/>
          <w:lang w:val="ro-MD"/>
        </w:rPr>
        <w:t>al Parlamentului European și al Consiliului din 17 iunie 2025</w:t>
      </w:r>
      <w:r>
        <w:rPr>
          <w:lang w:val="ro-MD"/>
        </w:rPr>
        <w:t>”</w:t>
      </w:r>
      <w:r w:rsidR="0031209A" w:rsidRPr="008F69DA">
        <w:rPr>
          <w:lang w:val="ro-RO"/>
        </w:rPr>
        <w:t>;</w:t>
      </w:r>
    </w:p>
    <w:p w14:paraId="26E2B5CE" w14:textId="77777777" w:rsidR="005D63F1" w:rsidRPr="0003770A" w:rsidRDefault="005D63F1" w:rsidP="001C52FD">
      <w:pPr>
        <w:pStyle w:val="ListParagraph"/>
        <w:tabs>
          <w:tab w:val="left" w:pos="284"/>
        </w:tabs>
        <w:ind w:left="284"/>
        <w:jc w:val="both"/>
        <w:rPr>
          <w:vertAlign w:val="superscript"/>
          <w:lang w:val="ro-MD"/>
        </w:rPr>
      </w:pPr>
    </w:p>
    <w:p w14:paraId="2F428087" w14:textId="5CE75B8F" w:rsidR="00DD14D7" w:rsidRPr="00D44D2C" w:rsidRDefault="00D44D2C" w:rsidP="008C64B5">
      <w:pPr>
        <w:pStyle w:val="ListParagraph"/>
        <w:numPr>
          <w:ilvl w:val="1"/>
          <w:numId w:val="3"/>
        </w:numPr>
        <w:ind w:left="567" w:hanging="283"/>
        <w:jc w:val="both"/>
        <w:rPr>
          <w:lang w:val="ro-RO"/>
        </w:rPr>
      </w:pPr>
      <w:r>
        <w:rPr>
          <w:lang w:val="ro-RO"/>
        </w:rPr>
        <w:t>l</w:t>
      </w:r>
      <w:r w:rsidR="00575D53" w:rsidRPr="00D44D2C">
        <w:rPr>
          <w:lang w:val="ro-RO"/>
        </w:rPr>
        <w:t xml:space="preserve">a punctul 9, textul </w:t>
      </w:r>
      <w:r w:rsidR="00575D53" w:rsidRPr="00D44D2C">
        <w:rPr>
          <w:lang w:val="ro-MD"/>
        </w:rPr>
        <w:t>„coloana 4 din tabelul 2 de la punctul 8 din prezentul regulament” se modifică cu textul „</w:t>
      </w:r>
      <w:bookmarkStart w:id="1" w:name="_Hlk203671342"/>
      <w:r w:rsidR="00575D53" w:rsidRPr="00D44D2C">
        <w:rPr>
          <w:lang w:val="ro-MD"/>
        </w:rPr>
        <w:t xml:space="preserve">prevederile tabelului </w:t>
      </w:r>
      <w:bookmarkEnd w:id="1"/>
      <w:r w:rsidR="00BB4E0F">
        <w:rPr>
          <w:lang w:val="ro-MD"/>
        </w:rPr>
        <w:t>2</w:t>
      </w:r>
      <w:r w:rsidR="00575D53" w:rsidRPr="00D44D2C">
        <w:rPr>
          <w:lang w:val="ro-MD"/>
        </w:rPr>
        <w:t>”</w:t>
      </w:r>
      <w:r>
        <w:rPr>
          <w:lang w:val="ro-MD"/>
        </w:rPr>
        <w:t>;</w:t>
      </w:r>
    </w:p>
    <w:p w14:paraId="461F29D7" w14:textId="438CB62D" w:rsidR="00575D53" w:rsidRPr="00D44D2C" w:rsidRDefault="00D44D2C" w:rsidP="008C64B5">
      <w:pPr>
        <w:pStyle w:val="ListParagraph"/>
        <w:numPr>
          <w:ilvl w:val="1"/>
          <w:numId w:val="3"/>
        </w:numPr>
        <w:ind w:left="567" w:hanging="283"/>
        <w:jc w:val="both"/>
        <w:rPr>
          <w:lang w:val="ro-RO"/>
        </w:rPr>
      </w:pPr>
      <w:r>
        <w:rPr>
          <w:lang w:val="ro-MD"/>
        </w:rPr>
        <w:t xml:space="preserve"> l</w:t>
      </w:r>
      <w:r w:rsidR="00575D53" w:rsidRPr="00D44D2C">
        <w:rPr>
          <w:lang w:val="ro-MD"/>
        </w:rPr>
        <w:t xml:space="preserve">a punctul 10, textul „punctul 8” se </w:t>
      </w:r>
      <w:r w:rsidR="00570CE4">
        <w:rPr>
          <w:lang w:val="ro-MD"/>
        </w:rPr>
        <w:t xml:space="preserve">substituie </w:t>
      </w:r>
      <w:r w:rsidR="00575D53" w:rsidRPr="00D44D2C">
        <w:rPr>
          <w:lang w:val="ro-MD"/>
        </w:rPr>
        <w:t>cu textul „punctul 9”</w:t>
      </w:r>
      <w:r>
        <w:rPr>
          <w:lang w:val="ro-MD"/>
        </w:rPr>
        <w:t>;</w:t>
      </w:r>
    </w:p>
    <w:p w14:paraId="4A369C82" w14:textId="6AE4F38B" w:rsidR="002705B3" w:rsidRPr="00D44D2C" w:rsidRDefault="002705B3" w:rsidP="008C64B5">
      <w:pPr>
        <w:pStyle w:val="ListParagraph"/>
        <w:numPr>
          <w:ilvl w:val="1"/>
          <w:numId w:val="3"/>
        </w:numPr>
        <w:ind w:left="567" w:hanging="283"/>
        <w:jc w:val="both"/>
        <w:rPr>
          <w:lang w:val="ro-RO"/>
        </w:rPr>
      </w:pPr>
      <w:r>
        <w:rPr>
          <w:lang w:val="ro-RO"/>
        </w:rPr>
        <w:t xml:space="preserve"> </w:t>
      </w:r>
      <w:bookmarkStart w:id="2" w:name="_Hlk205197048"/>
      <w:r w:rsidRPr="00D44D2C">
        <w:rPr>
          <w:lang w:val="ro-RO"/>
        </w:rPr>
        <w:t>se completează cu punct</w:t>
      </w:r>
      <w:r w:rsidR="0045115A">
        <w:rPr>
          <w:lang w:val="ro-RO"/>
        </w:rPr>
        <w:t>u</w:t>
      </w:r>
      <w:r w:rsidRPr="00D44D2C">
        <w:rPr>
          <w:lang w:val="ro-RO"/>
        </w:rPr>
        <w:t>l 11 cu următorul cuprins:</w:t>
      </w:r>
    </w:p>
    <w:bookmarkEnd w:id="2"/>
    <w:p w14:paraId="53707AE2" w14:textId="47D54FB4" w:rsidR="002705B3" w:rsidRPr="0045115A" w:rsidRDefault="002705B3" w:rsidP="0045115A">
      <w:pPr>
        <w:pStyle w:val="ListParagraph"/>
        <w:ind w:left="567"/>
        <w:jc w:val="both"/>
        <w:rPr>
          <w:b/>
          <w:bCs/>
          <w:lang w:val="ro-MD"/>
        </w:rPr>
      </w:pPr>
      <w:r>
        <w:rPr>
          <w:lang w:val="ro-RO"/>
        </w:rPr>
        <w:t>„</w:t>
      </w:r>
      <w:r w:rsidRPr="002705B3">
        <w:rPr>
          <w:b/>
          <w:bCs/>
          <w:lang w:val="ro-MD"/>
        </w:rPr>
        <w:t xml:space="preserve">11. </w:t>
      </w:r>
      <w:r w:rsidR="00D44D2C" w:rsidRPr="00D44D2C">
        <w:rPr>
          <w:lang w:val="ro-MD"/>
        </w:rPr>
        <w:t xml:space="preserve">La aplicarea unei ponderi de risc expunerilor din </w:t>
      </w:r>
      <w:proofErr w:type="spellStart"/>
      <w:r w:rsidR="00D44D2C" w:rsidRPr="00D44D2C">
        <w:rPr>
          <w:lang w:val="ro-MD"/>
        </w:rPr>
        <w:t>tranzacţiile</w:t>
      </w:r>
      <w:proofErr w:type="spellEnd"/>
      <w:r w:rsidR="00D44D2C" w:rsidRPr="00D44D2C">
        <w:rPr>
          <w:lang w:val="ro-MD"/>
        </w:rPr>
        <w:t xml:space="preserve"> incomplete tratate în conformitate cu </w:t>
      </w:r>
      <w:r w:rsidR="00570CE4" w:rsidRPr="004106B4">
        <w:rPr>
          <w:lang w:val="ro-MD"/>
        </w:rPr>
        <w:t xml:space="preserve">prevederile expuse în </w:t>
      </w:r>
      <w:r w:rsidR="00D44D2C" w:rsidRPr="004106B4">
        <w:rPr>
          <w:lang w:val="ro-MD"/>
        </w:rPr>
        <w:t xml:space="preserve">coloana 3 din tabelul 2, o bancă </w:t>
      </w:r>
      <w:r w:rsidR="00D60E72" w:rsidRPr="004106B4">
        <w:rPr>
          <w:lang w:val="ro-MD"/>
        </w:rPr>
        <w:t xml:space="preserve">ce </w:t>
      </w:r>
      <w:r w:rsidR="00D44D2C" w:rsidRPr="004106B4">
        <w:rPr>
          <w:lang w:val="ro-MD"/>
        </w:rPr>
        <w:t>utilizează abordarea bazată pe modele interne de rating</w:t>
      </w:r>
      <w:r w:rsidR="00D44D2C" w:rsidRPr="00D44D2C">
        <w:rPr>
          <w:lang w:val="ro-MD"/>
        </w:rPr>
        <w:t xml:space="preserve"> (</w:t>
      </w:r>
      <w:r w:rsidR="00341559">
        <w:rPr>
          <w:lang w:val="ro-MD"/>
        </w:rPr>
        <w:t xml:space="preserve">în continuare - </w:t>
      </w:r>
      <w:r w:rsidR="00D44D2C" w:rsidRPr="00D44D2C">
        <w:rPr>
          <w:lang w:val="ro-MD"/>
        </w:rPr>
        <w:t xml:space="preserve">IRB) poate atribui </w:t>
      </w:r>
      <w:proofErr w:type="spellStart"/>
      <w:r w:rsidR="00D44D2C" w:rsidRPr="00D44D2C">
        <w:rPr>
          <w:lang w:val="ro-MD"/>
        </w:rPr>
        <w:t>probabilităţi</w:t>
      </w:r>
      <w:r w:rsidR="00D60E72">
        <w:rPr>
          <w:lang w:val="ro-MD"/>
        </w:rPr>
        <w:t>le</w:t>
      </w:r>
      <w:proofErr w:type="spellEnd"/>
      <w:r w:rsidR="00D44D2C" w:rsidRPr="00D44D2C">
        <w:rPr>
          <w:lang w:val="ro-MD"/>
        </w:rPr>
        <w:t xml:space="preserve"> de nerambursare </w:t>
      </w:r>
      <w:proofErr w:type="spellStart"/>
      <w:r w:rsidR="00D44D2C" w:rsidRPr="00D44D2C">
        <w:rPr>
          <w:lang w:val="ro-MD"/>
        </w:rPr>
        <w:t>contrapărţilor</w:t>
      </w:r>
      <w:proofErr w:type="spellEnd"/>
      <w:r w:rsidR="00D44D2C" w:rsidRPr="00D44D2C">
        <w:rPr>
          <w:lang w:val="ro-MD"/>
        </w:rPr>
        <w:t xml:space="preserve"> pentru care nu are alte expuneri în afara portofoliului de </w:t>
      </w:r>
      <w:proofErr w:type="spellStart"/>
      <w:r w:rsidR="00D44D2C" w:rsidRPr="00D44D2C">
        <w:rPr>
          <w:lang w:val="ro-MD"/>
        </w:rPr>
        <w:t>tranzacţionare</w:t>
      </w:r>
      <w:proofErr w:type="spellEnd"/>
      <w:r w:rsidR="00D44D2C" w:rsidRPr="00D44D2C">
        <w:rPr>
          <w:lang w:val="ro-MD"/>
        </w:rPr>
        <w:t xml:space="preserve">, pe baza ratingului extern al </w:t>
      </w:r>
      <w:proofErr w:type="spellStart"/>
      <w:r w:rsidR="00D44D2C" w:rsidRPr="00D44D2C">
        <w:rPr>
          <w:lang w:val="ro-MD"/>
        </w:rPr>
        <w:t>contrapărţii</w:t>
      </w:r>
      <w:proofErr w:type="spellEnd"/>
      <w:r w:rsidR="00D44D2C" w:rsidRPr="00D44D2C">
        <w:rPr>
          <w:lang w:val="ro-MD"/>
        </w:rPr>
        <w:t xml:space="preserve">. Băncile care utilizează propriile estimări ale pierderii în caz de nerambursare (LGD — </w:t>
      </w:r>
      <w:proofErr w:type="spellStart"/>
      <w:r w:rsidR="00D44D2C" w:rsidRPr="00D44D2C">
        <w:rPr>
          <w:lang w:val="ro-MD"/>
        </w:rPr>
        <w:t>loss</w:t>
      </w:r>
      <w:proofErr w:type="spellEnd"/>
      <w:r w:rsidR="00D44D2C" w:rsidRPr="00D44D2C">
        <w:rPr>
          <w:lang w:val="ro-MD"/>
        </w:rPr>
        <w:t xml:space="preserve"> </w:t>
      </w:r>
      <w:proofErr w:type="spellStart"/>
      <w:r w:rsidR="00D44D2C" w:rsidRPr="00D44D2C">
        <w:rPr>
          <w:lang w:val="ro-MD"/>
        </w:rPr>
        <w:t>given</w:t>
      </w:r>
      <w:proofErr w:type="spellEnd"/>
      <w:r w:rsidR="00D44D2C" w:rsidRPr="00D44D2C">
        <w:rPr>
          <w:lang w:val="ro-MD"/>
        </w:rPr>
        <w:t xml:space="preserve"> </w:t>
      </w:r>
      <w:proofErr w:type="spellStart"/>
      <w:r w:rsidR="00D44D2C" w:rsidRPr="00D44D2C">
        <w:rPr>
          <w:lang w:val="ro-MD"/>
        </w:rPr>
        <w:t>default</w:t>
      </w:r>
      <w:proofErr w:type="spellEnd"/>
      <w:r w:rsidR="00D44D2C" w:rsidRPr="00D44D2C">
        <w:rPr>
          <w:lang w:val="ro-MD"/>
        </w:rPr>
        <w:t xml:space="preserve">) pot aplica valoarea pierderilor în caz de nerambursare conform abordării IRB expunerilor din </w:t>
      </w:r>
      <w:proofErr w:type="spellStart"/>
      <w:r w:rsidR="00D44D2C" w:rsidRPr="00D44D2C">
        <w:rPr>
          <w:lang w:val="ro-MD"/>
        </w:rPr>
        <w:t>tranzacţii</w:t>
      </w:r>
      <w:proofErr w:type="spellEnd"/>
      <w:r w:rsidR="00D44D2C" w:rsidRPr="00D44D2C">
        <w:rPr>
          <w:lang w:val="ro-MD"/>
        </w:rPr>
        <w:t xml:space="preserve"> incomplete tratate în conformitate </w:t>
      </w:r>
      <w:r w:rsidR="00D44D2C" w:rsidRPr="004106B4">
        <w:rPr>
          <w:lang w:val="ro-MD"/>
        </w:rPr>
        <w:t xml:space="preserve">cu </w:t>
      </w:r>
      <w:r w:rsidR="004E74A7" w:rsidRPr="004106B4">
        <w:rPr>
          <w:lang w:val="ro-MD"/>
        </w:rPr>
        <w:t xml:space="preserve">prevederile expuse </w:t>
      </w:r>
      <w:r w:rsidR="004E74A7" w:rsidRPr="004106B4">
        <w:rPr>
          <w:lang w:val="ro-RO"/>
        </w:rPr>
        <w:t xml:space="preserve">în </w:t>
      </w:r>
      <w:r w:rsidR="00D44D2C" w:rsidRPr="004106B4">
        <w:rPr>
          <w:lang w:val="ro-MD"/>
        </w:rPr>
        <w:t>coloana 3</w:t>
      </w:r>
      <w:r w:rsidR="00D44D2C" w:rsidRPr="00D44D2C">
        <w:rPr>
          <w:lang w:val="ro-MD"/>
        </w:rPr>
        <w:t xml:space="preserve"> din tabelul 2, cu </w:t>
      </w:r>
      <w:proofErr w:type="spellStart"/>
      <w:r w:rsidR="00D44D2C" w:rsidRPr="00D44D2C">
        <w:rPr>
          <w:lang w:val="ro-MD"/>
        </w:rPr>
        <w:t>condiţia</w:t>
      </w:r>
      <w:proofErr w:type="spellEnd"/>
      <w:r w:rsidR="00D44D2C" w:rsidRPr="00D44D2C">
        <w:rPr>
          <w:lang w:val="ro-MD"/>
        </w:rPr>
        <w:t xml:space="preserve"> să aplice respectiva valoare a pierderii în caz de nerambursare tuturor expunerilor de acest tip. Alternativ, banca care utilizează abordarea IRB poate aplica ponderile de risc ale abordării standardizate, așa cum este prevăzut în Regulamentul nr.111/2018 cu privire la tratamentul riscului de credit pentru bănci potrivit abordării standardizate, cu </w:t>
      </w:r>
      <w:proofErr w:type="spellStart"/>
      <w:r w:rsidR="00D44D2C" w:rsidRPr="00D44D2C">
        <w:rPr>
          <w:lang w:val="ro-MD"/>
        </w:rPr>
        <w:t>condiţia</w:t>
      </w:r>
      <w:proofErr w:type="spellEnd"/>
      <w:r w:rsidR="00D44D2C" w:rsidRPr="00D44D2C">
        <w:rPr>
          <w:lang w:val="ro-MD"/>
        </w:rPr>
        <w:t xml:space="preserve"> să le </w:t>
      </w:r>
      <w:r w:rsidR="00D44D2C" w:rsidRPr="00D44D2C">
        <w:rPr>
          <w:lang w:val="ro-MD"/>
        </w:rPr>
        <w:lastRenderedPageBreak/>
        <w:t>aplice tuturor expunerilor de acest tip, sau poate aplica o pondere de risc de 100 % tuturor expunerilor de acest tip.</w:t>
      </w:r>
      <w:r w:rsidRPr="0045115A">
        <w:rPr>
          <w:lang w:val="ro-MD"/>
        </w:rPr>
        <w:t>”.</w:t>
      </w:r>
    </w:p>
    <w:p w14:paraId="665AE974" w14:textId="77777777" w:rsidR="00D44D2C" w:rsidRPr="002705B3" w:rsidRDefault="00D44D2C" w:rsidP="008C64B5">
      <w:pPr>
        <w:pStyle w:val="ListParagraph"/>
        <w:ind w:left="0"/>
        <w:jc w:val="both"/>
        <w:rPr>
          <w:lang w:val="ro-MD"/>
        </w:rPr>
      </w:pPr>
    </w:p>
    <w:p w14:paraId="427359E4" w14:textId="47DFE77F" w:rsidR="00DD14D7" w:rsidRPr="008F69DA" w:rsidRDefault="001319DE" w:rsidP="009E003D">
      <w:pPr>
        <w:pStyle w:val="ListParagraph"/>
        <w:ind w:left="0"/>
        <w:jc w:val="both"/>
        <w:rPr>
          <w:lang w:val="ro-MD"/>
        </w:rPr>
      </w:pPr>
      <w:r w:rsidRPr="00D44D2C">
        <w:rPr>
          <w:b/>
          <w:bCs/>
          <w:lang w:val="ro-RO"/>
        </w:rPr>
        <w:t>2.</w:t>
      </w:r>
      <w:r>
        <w:rPr>
          <w:lang w:val="ro-RO"/>
        </w:rPr>
        <w:t xml:space="preserve"> Regulamentul cu privire la </w:t>
      </w:r>
      <w:r w:rsidR="00FA4A05" w:rsidRPr="00FA4A05">
        <w:rPr>
          <w:lang w:val="ro-MD"/>
        </w:rPr>
        <w:t>calculul de către bănci al ajustărilor specifice</w:t>
      </w:r>
      <w:r w:rsidR="00FA4A05">
        <w:rPr>
          <w:lang w:val="ro-MD"/>
        </w:rPr>
        <w:t xml:space="preserve"> </w:t>
      </w:r>
      <w:proofErr w:type="spellStart"/>
      <w:r w:rsidR="00FA4A05" w:rsidRPr="00FA4A05">
        <w:rPr>
          <w:lang w:val="ro-MD"/>
        </w:rPr>
        <w:t>şi</w:t>
      </w:r>
      <w:proofErr w:type="spellEnd"/>
      <w:r w:rsidR="00FA4A05" w:rsidRPr="00FA4A05">
        <w:rPr>
          <w:lang w:val="ro-MD"/>
        </w:rPr>
        <w:t xml:space="preserve"> al ajustărilor generale pentru riscul de credit</w:t>
      </w:r>
      <w:r>
        <w:rPr>
          <w:lang w:val="ro-RO"/>
        </w:rPr>
        <w:t>, aprobat prin Hotărârea Comitetului executiv al Băncii Naționale a Moldovei nr.1</w:t>
      </w:r>
      <w:r w:rsidR="00FA4A05">
        <w:rPr>
          <w:lang w:val="ro-RO"/>
        </w:rPr>
        <w:t>16</w:t>
      </w:r>
      <w:r>
        <w:rPr>
          <w:lang w:val="ro-RO"/>
        </w:rPr>
        <w:t>/2018 (</w:t>
      </w:r>
      <w:r w:rsidRPr="008F69DA">
        <w:rPr>
          <w:lang w:val="ro-MD"/>
        </w:rPr>
        <w:t>Monitorul Oficial al R. Moldova nr. 183-194 art. 90</w:t>
      </w:r>
      <w:r w:rsidR="00FA4A05" w:rsidRPr="008F69DA">
        <w:rPr>
          <w:lang w:val="ro-MD"/>
        </w:rPr>
        <w:t>6</w:t>
      </w:r>
      <w:r w:rsidRPr="008F69DA">
        <w:rPr>
          <w:lang w:val="ro-MD"/>
        </w:rPr>
        <w:t> din 08.06.2018),</w:t>
      </w:r>
      <w:r w:rsidRPr="008F69DA">
        <w:rPr>
          <w:rFonts w:ascii="Arial" w:eastAsia="Calibri" w:hAnsi="Arial" w:cs="Arial"/>
          <w:sz w:val="22"/>
          <w:szCs w:val="22"/>
          <w:lang w:val="ro-MD" w:eastAsia="en-US"/>
        </w:rPr>
        <w:t xml:space="preserve"> </w:t>
      </w:r>
      <w:r w:rsidRPr="008F69DA">
        <w:rPr>
          <w:lang w:val="ro-MD"/>
        </w:rPr>
        <w:t xml:space="preserve">înregistrat la Ministerul </w:t>
      </w:r>
      <w:proofErr w:type="spellStart"/>
      <w:r w:rsidRPr="008F69DA">
        <w:rPr>
          <w:lang w:val="ro-MD"/>
        </w:rPr>
        <w:t>Justiţiei</w:t>
      </w:r>
      <w:proofErr w:type="spellEnd"/>
      <w:r w:rsidRPr="008F69DA">
        <w:rPr>
          <w:lang w:val="ro-MD"/>
        </w:rPr>
        <w:t xml:space="preserve"> al Republicii Moldova cu nr.1</w:t>
      </w:r>
      <w:r w:rsidR="00FA4A05" w:rsidRPr="008F69DA">
        <w:rPr>
          <w:lang w:val="ro-MD"/>
        </w:rPr>
        <w:t>331</w:t>
      </w:r>
      <w:r w:rsidRPr="008F69DA">
        <w:rPr>
          <w:lang w:val="ro-MD"/>
        </w:rPr>
        <w:t>/2020, se modifică după cum urmează:</w:t>
      </w:r>
    </w:p>
    <w:p w14:paraId="57675913" w14:textId="5C155DAD" w:rsidR="001F01FA" w:rsidRPr="008F69DA" w:rsidRDefault="00AB3208" w:rsidP="009E003D">
      <w:pPr>
        <w:pStyle w:val="ListParagraph"/>
        <w:ind w:left="567" w:hanging="283"/>
        <w:jc w:val="both"/>
        <w:rPr>
          <w:lang w:val="pt-BR"/>
        </w:rPr>
      </w:pPr>
      <w:r w:rsidRPr="008F69DA">
        <w:rPr>
          <w:lang w:val="pt-BR"/>
        </w:rPr>
        <w:t xml:space="preserve">2.1. </w:t>
      </w:r>
      <w:r w:rsidR="001F01FA">
        <w:rPr>
          <w:lang w:val="ro-MD"/>
        </w:rPr>
        <w:t>c</w:t>
      </w:r>
      <w:r w:rsidRPr="008F69DA">
        <w:rPr>
          <w:lang w:val="pt-BR"/>
        </w:rPr>
        <w:t>lauza de armonizare</w:t>
      </w:r>
      <w:r w:rsidR="001F01FA" w:rsidRPr="008F69DA">
        <w:rPr>
          <w:lang w:val="pt-BR"/>
        </w:rPr>
        <w:t xml:space="preserve"> va avea următorul cuprins:</w:t>
      </w:r>
    </w:p>
    <w:p w14:paraId="448A56C2" w14:textId="71AA5D7E" w:rsidR="001F01FA" w:rsidRPr="001F01FA" w:rsidRDefault="001F01FA" w:rsidP="009E003D">
      <w:pPr>
        <w:pStyle w:val="ListParagraph"/>
        <w:ind w:left="567" w:hanging="283"/>
        <w:rPr>
          <w:lang w:val="ro-MD"/>
        </w:rPr>
      </w:pPr>
      <w:r>
        <w:rPr>
          <w:lang w:val="ro-MD"/>
        </w:rPr>
        <w:t>„</w:t>
      </w:r>
      <w:r w:rsidRPr="001F01FA">
        <w:rPr>
          <w:lang w:val="ro-MD"/>
        </w:rPr>
        <w:t>Prezentul regulament:</w:t>
      </w:r>
    </w:p>
    <w:p w14:paraId="0A2F30C3" w14:textId="2A0A2FCB" w:rsidR="001F01FA" w:rsidRPr="001F01FA" w:rsidRDefault="001F01FA" w:rsidP="009E003D">
      <w:pPr>
        <w:pStyle w:val="ListParagraph"/>
        <w:ind w:left="567"/>
        <w:jc w:val="both"/>
        <w:rPr>
          <w:lang w:val="ro-MD"/>
        </w:rPr>
      </w:pPr>
      <w:r w:rsidRPr="001F01FA">
        <w:rPr>
          <w:lang w:val="ro-MD"/>
        </w:rPr>
        <w:t xml:space="preserve">a) transpune art.4 (1) (95) </w:t>
      </w:r>
      <w:proofErr w:type="spellStart"/>
      <w:r w:rsidRPr="001F01FA">
        <w:rPr>
          <w:lang w:val="ro-MD"/>
        </w:rPr>
        <w:t>şi</w:t>
      </w:r>
      <w:proofErr w:type="spellEnd"/>
      <w:r w:rsidRPr="001F01FA">
        <w:rPr>
          <w:lang w:val="ro-MD"/>
        </w:rPr>
        <w:t xml:space="preserve"> art.110 (1)</w:t>
      </w:r>
      <w:r>
        <w:rPr>
          <w:lang w:val="ro-MD"/>
        </w:rPr>
        <w:t>-(3)</w:t>
      </w:r>
      <w:r w:rsidRPr="001F01FA">
        <w:rPr>
          <w:lang w:val="ro-MD"/>
        </w:rPr>
        <w:t xml:space="preserve"> din </w:t>
      </w:r>
      <w:r w:rsidR="000A1EDF" w:rsidRPr="00FA2113">
        <w:rPr>
          <w:bCs/>
          <w:iCs/>
          <w:lang w:val="ro-MD"/>
        </w:rPr>
        <w:t xml:space="preserve">Regulamentul nr. 575/2013 al Parlamentului European și al Consiliului din 26 iunie 2013 privind cerințele prudențiale pentru instituțiile de credit și de modificare a Regulamentului (UE) nr. 648/2012, publicat în Jurnalul Oficial al Uniuni Europene L 176 din 27 iunie 2013, CELEX: </w:t>
      </w:r>
      <w:r w:rsidR="000A1EDF" w:rsidRPr="000A1EDF">
        <w:rPr>
          <w:bCs/>
          <w:iCs/>
          <w:lang w:val="ro-MD"/>
        </w:rPr>
        <w:t>02</w:t>
      </w:r>
      <w:r w:rsidR="000A1EDF" w:rsidRPr="00FA2113">
        <w:rPr>
          <w:bCs/>
          <w:iCs/>
          <w:lang w:val="ro-MD"/>
        </w:rPr>
        <w:t>013R0575, așa cum a fost modificat ultima dată prin Regulamentul (UE) 202</w:t>
      </w:r>
      <w:r w:rsidR="000A1EDF" w:rsidRPr="000A1EDF">
        <w:rPr>
          <w:bCs/>
          <w:iCs/>
          <w:lang w:val="ro-MD"/>
        </w:rPr>
        <w:t>5</w:t>
      </w:r>
      <w:r w:rsidR="000A1EDF" w:rsidRPr="00FA2113">
        <w:rPr>
          <w:bCs/>
          <w:iCs/>
          <w:lang w:val="ro-MD"/>
        </w:rPr>
        <w:t>/</w:t>
      </w:r>
      <w:r w:rsidR="000A1EDF" w:rsidRPr="000A1EDF">
        <w:rPr>
          <w:bCs/>
          <w:iCs/>
          <w:lang w:val="ro-MD"/>
        </w:rPr>
        <w:t>1215</w:t>
      </w:r>
      <w:r w:rsidR="000A1EDF" w:rsidRPr="00FA2113">
        <w:rPr>
          <w:bCs/>
          <w:iCs/>
          <w:lang w:val="ro-MD"/>
        </w:rPr>
        <w:t xml:space="preserve"> al Parlamentului European și al Consiliului din 1</w:t>
      </w:r>
      <w:r w:rsidR="000A1EDF" w:rsidRPr="000A1EDF">
        <w:rPr>
          <w:bCs/>
          <w:iCs/>
          <w:lang w:val="ro-MD"/>
        </w:rPr>
        <w:t>7</w:t>
      </w:r>
      <w:r w:rsidR="000A1EDF" w:rsidRPr="00FA2113">
        <w:rPr>
          <w:bCs/>
          <w:iCs/>
          <w:lang w:val="ro-MD"/>
        </w:rPr>
        <w:t xml:space="preserve"> </w:t>
      </w:r>
      <w:r w:rsidR="000A1EDF" w:rsidRPr="000A1EDF">
        <w:rPr>
          <w:bCs/>
          <w:iCs/>
          <w:lang w:val="ro-MD"/>
        </w:rPr>
        <w:t>iunie</w:t>
      </w:r>
      <w:r w:rsidR="000A1EDF" w:rsidRPr="00FA2113">
        <w:rPr>
          <w:bCs/>
          <w:iCs/>
          <w:lang w:val="ro-MD"/>
        </w:rPr>
        <w:t xml:space="preserve"> 202</w:t>
      </w:r>
      <w:r w:rsidR="000A1EDF" w:rsidRPr="000A1EDF">
        <w:rPr>
          <w:bCs/>
          <w:iCs/>
          <w:lang w:val="ro-MD"/>
        </w:rPr>
        <w:t>5</w:t>
      </w:r>
      <w:r w:rsidR="009E003D">
        <w:rPr>
          <w:lang w:val="ro-MD"/>
        </w:rPr>
        <w:t>;</w:t>
      </w:r>
    </w:p>
    <w:p w14:paraId="4F6E6BFA" w14:textId="6E774718" w:rsidR="001F01FA" w:rsidRPr="001F01FA" w:rsidRDefault="001F01FA" w:rsidP="009E003D">
      <w:pPr>
        <w:pStyle w:val="ListParagraph"/>
        <w:ind w:left="567"/>
        <w:jc w:val="both"/>
        <w:rPr>
          <w:lang w:val="ro-MD"/>
        </w:rPr>
      </w:pPr>
      <w:r w:rsidRPr="001F01FA">
        <w:rPr>
          <w:lang w:val="ro-MD"/>
        </w:rPr>
        <w:t xml:space="preserve">b) transpune </w:t>
      </w:r>
      <w:r w:rsidR="000A1EDF" w:rsidRPr="008F69DA">
        <w:rPr>
          <w:bCs/>
          <w:iCs/>
          <w:lang w:val="ro-MD"/>
        </w:rPr>
        <w:t xml:space="preserve">Regulamentul Delegat (UE) nr.183/2014 al Comisiei din 20 decembrie 2013 de completare a Regulamentului (UE) nr.575/2013 al Parlamentului European </w:t>
      </w:r>
      <w:proofErr w:type="spellStart"/>
      <w:r w:rsidR="000A1EDF" w:rsidRPr="008F69DA">
        <w:rPr>
          <w:bCs/>
          <w:iCs/>
          <w:lang w:val="ro-MD"/>
        </w:rPr>
        <w:t>şi</w:t>
      </w:r>
      <w:proofErr w:type="spellEnd"/>
      <w:r w:rsidR="000A1EDF" w:rsidRPr="008F69DA">
        <w:rPr>
          <w:bCs/>
          <w:iCs/>
          <w:lang w:val="ro-MD"/>
        </w:rPr>
        <w:t xml:space="preserve"> al Consiliului privind </w:t>
      </w:r>
      <w:proofErr w:type="spellStart"/>
      <w:r w:rsidR="000A1EDF" w:rsidRPr="008F69DA">
        <w:rPr>
          <w:bCs/>
          <w:iCs/>
          <w:lang w:val="ro-MD"/>
        </w:rPr>
        <w:t>cerinţele</w:t>
      </w:r>
      <w:proofErr w:type="spellEnd"/>
      <w:r w:rsidR="000A1EDF" w:rsidRPr="008F69DA">
        <w:rPr>
          <w:bCs/>
          <w:iCs/>
          <w:lang w:val="ro-MD"/>
        </w:rPr>
        <w:t xml:space="preserve"> </w:t>
      </w:r>
      <w:proofErr w:type="spellStart"/>
      <w:r w:rsidR="000A1EDF" w:rsidRPr="008F69DA">
        <w:rPr>
          <w:bCs/>
          <w:iCs/>
          <w:lang w:val="ro-MD"/>
        </w:rPr>
        <w:t>prudenţiale</w:t>
      </w:r>
      <w:proofErr w:type="spellEnd"/>
      <w:r w:rsidR="000A1EDF" w:rsidRPr="008F69DA">
        <w:rPr>
          <w:bCs/>
          <w:iCs/>
          <w:lang w:val="ro-MD"/>
        </w:rPr>
        <w:t xml:space="preserve"> pentru </w:t>
      </w:r>
      <w:proofErr w:type="spellStart"/>
      <w:r w:rsidR="000A1EDF" w:rsidRPr="008F69DA">
        <w:rPr>
          <w:bCs/>
          <w:iCs/>
          <w:lang w:val="ro-MD"/>
        </w:rPr>
        <w:t>instituţiile</w:t>
      </w:r>
      <w:proofErr w:type="spellEnd"/>
      <w:r w:rsidR="000A1EDF" w:rsidRPr="008F69DA">
        <w:rPr>
          <w:bCs/>
          <w:iCs/>
          <w:lang w:val="ro-MD"/>
        </w:rPr>
        <w:t xml:space="preserve"> de credit </w:t>
      </w:r>
      <w:proofErr w:type="spellStart"/>
      <w:r w:rsidR="000A1EDF" w:rsidRPr="008F69DA">
        <w:rPr>
          <w:bCs/>
          <w:iCs/>
          <w:lang w:val="ro-MD"/>
        </w:rPr>
        <w:t>şi</w:t>
      </w:r>
      <w:proofErr w:type="spellEnd"/>
      <w:r w:rsidR="000A1EDF" w:rsidRPr="008F69DA">
        <w:rPr>
          <w:bCs/>
          <w:iCs/>
          <w:lang w:val="ro-MD"/>
        </w:rPr>
        <w:t xml:space="preserve"> firmele de </w:t>
      </w:r>
      <w:proofErr w:type="spellStart"/>
      <w:r w:rsidR="000A1EDF" w:rsidRPr="008F69DA">
        <w:rPr>
          <w:bCs/>
          <w:iCs/>
          <w:lang w:val="ro-MD"/>
        </w:rPr>
        <w:t>investiţii</w:t>
      </w:r>
      <w:proofErr w:type="spellEnd"/>
      <w:r w:rsidR="000A1EDF" w:rsidRPr="008F69DA">
        <w:rPr>
          <w:bCs/>
          <w:iCs/>
          <w:lang w:val="ro-MD"/>
        </w:rPr>
        <w:t xml:space="preserve">, în ceea ce </w:t>
      </w:r>
      <w:proofErr w:type="spellStart"/>
      <w:r w:rsidR="000A1EDF" w:rsidRPr="008F69DA">
        <w:rPr>
          <w:bCs/>
          <w:iCs/>
          <w:lang w:val="ro-MD"/>
        </w:rPr>
        <w:t>priveşte</w:t>
      </w:r>
      <w:proofErr w:type="spellEnd"/>
      <w:r w:rsidR="000A1EDF" w:rsidRPr="008F69DA">
        <w:rPr>
          <w:bCs/>
          <w:iCs/>
          <w:lang w:val="ro-MD"/>
        </w:rPr>
        <w:t xml:space="preserve"> standardele tehnice de reglementare pentru precizarea modului de calcul al ajustărilor specifice </w:t>
      </w:r>
      <w:proofErr w:type="spellStart"/>
      <w:r w:rsidR="000A1EDF" w:rsidRPr="008F69DA">
        <w:rPr>
          <w:bCs/>
          <w:iCs/>
          <w:lang w:val="ro-MD"/>
        </w:rPr>
        <w:t>şi</w:t>
      </w:r>
      <w:proofErr w:type="spellEnd"/>
      <w:r w:rsidR="000A1EDF" w:rsidRPr="008F69DA">
        <w:rPr>
          <w:bCs/>
          <w:iCs/>
          <w:lang w:val="ro-MD"/>
        </w:rPr>
        <w:t xml:space="preserve"> al ajustărilor generale pentru riscul de credit, publicat în Jurnalul Oficial al Uniunii Europene </w:t>
      </w:r>
      <w:proofErr w:type="spellStart"/>
      <w:r w:rsidR="000A1EDF" w:rsidRPr="008F69DA">
        <w:rPr>
          <w:bCs/>
          <w:iCs/>
          <w:lang w:val="ro-MD"/>
        </w:rPr>
        <w:t>nr.L</w:t>
      </w:r>
      <w:proofErr w:type="spellEnd"/>
      <w:r w:rsidR="000A1EDF" w:rsidRPr="008F69DA">
        <w:rPr>
          <w:bCs/>
          <w:iCs/>
          <w:lang w:val="ro-MD"/>
        </w:rPr>
        <w:t xml:space="preserve"> 57 din 27 februarie 2014, CELEX: 0214R0183, așa cum a fost </w:t>
      </w:r>
      <w:proofErr w:type="spellStart"/>
      <w:r w:rsidR="000A1EDF" w:rsidRPr="008F69DA">
        <w:rPr>
          <w:bCs/>
          <w:iCs/>
          <w:lang w:val="ro-MD"/>
        </w:rPr>
        <w:t>modifcat</w:t>
      </w:r>
      <w:proofErr w:type="spellEnd"/>
      <w:r w:rsidR="000A1EDF" w:rsidRPr="008F69DA">
        <w:rPr>
          <w:bCs/>
          <w:iCs/>
          <w:lang w:val="ro-MD"/>
        </w:rPr>
        <w:t xml:space="preserve"> ultima dată prin </w:t>
      </w:r>
      <w:r w:rsidR="000A1EDF" w:rsidRPr="008F69DA">
        <w:rPr>
          <w:iCs/>
          <w:lang w:val="ro-MD"/>
        </w:rPr>
        <w:t>Regulamentul delegat (UE) 2022/954 al Comisiei din 12 mai 2022.</w:t>
      </w:r>
      <w:r w:rsidR="009E003D" w:rsidRPr="008F69DA">
        <w:rPr>
          <w:iCs/>
          <w:lang w:val="ro-MD"/>
        </w:rPr>
        <w:t>”;</w:t>
      </w:r>
    </w:p>
    <w:p w14:paraId="470DE6C5" w14:textId="75621318" w:rsidR="008F0B56" w:rsidRPr="008F69DA" w:rsidRDefault="00652C0E" w:rsidP="009E003D">
      <w:pPr>
        <w:pStyle w:val="ListParagraph"/>
        <w:ind w:left="567" w:hanging="283"/>
        <w:jc w:val="both"/>
        <w:rPr>
          <w:lang w:val="ro-MD"/>
        </w:rPr>
      </w:pPr>
      <w:r w:rsidRPr="008F69DA">
        <w:rPr>
          <w:lang w:val="ro-MD"/>
        </w:rPr>
        <w:t>2.</w:t>
      </w:r>
      <w:r w:rsidR="00156C12" w:rsidRPr="008F69DA">
        <w:rPr>
          <w:lang w:val="ro-MD"/>
        </w:rPr>
        <w:t>2</w:t>
      </w:r>
      <w:r w:rsidRPr="008F69DA">
        <w:rPr>
          <w:lang w:val="ro-MD"/>
        </w:rPr>
        <w:t xml:space="preserve">. </w:t>
      </w:r>
      <w:r w:rsidR="008F0B56" w:rsidRPr="008F69DA">
        <w:rPr>
          <w:lang w:val="ro-MD"/>
        </w:rPr>
        <w:t>se completează cu punctele 4</w:t>
      </w:r>
      <w:r w:rsidR="008F0B56" w:rsidRPr="008F69DA">
        <w:rPr>
          <w:vertAlign w:val="superscript"/>
          <w:lang w:val="ro-MD"/>
        </w:rPr>
        <w:t>1</w:t>
      </w:r>
      <w:r w:rsidR="008F0B56" w:rsidRPr="008F69DA">
        <w:rPr>
          <w:lang w:val="ro-MD"/>
        </w:rPr>
        <w:t xml:space="preserve"> – 4</w:t>
      </w:r>
      <w:r w:rsidR="008F0B56" w:rsidRPr="008F69DA">
        <w:rPr>
          <w:vertAlign w:val="superscript"/>
          <w:lang w:val="ro-MD"/>
        </w:rPr>
        <w:t>3</w:t>
      </w:r>
      <w:r w:rsidR="008F0B56" w:rsidRPr="008F69DA">
        <w:rPr>
          <w:lang w:val="ro-MD"/>
        </w:rPr>
        <w:t xml:space="preserve"> cu următorul cuprins:</w:t>
      </w:r>
    </w:p>
    <w:p w14:paraId="387A3304" w14:textId="763F9CF4" w:rsidR="008F0B56" w:rsidRPr="008F0B56" w:rsidRDefault="008F0B56" w:rsidP="009E003D">
      <w:pPr>
        <w:pStyle w:val="ListParagraph"/>
        <w:ind w:left="567" w:hanging="283"/>
        <w:jc w:val="both"/>
        <w:rPr>
          <w:lang w:val="ro-MD"/>
        </w:rPr>
      </w:pPr>
      <w:r w:rsidRPr="008F69DA">
        <w:rPr>
          <w:lang w:val="ro-MD"/>
        </w:rPr>
        <w:t>„</w:t>
      </w:r>
      <w:r w:rsidRPr="008F0B56">
        <w:rPr>
          <w:b/>
          <w:bCs/>
          <w:lang w:val="ro-MD"/>
        </w:rPr>
        <w:t>4</w:t>
      </w:r>
      <w:r w:rsidRPr="008F0B56">
        <w:rPr>
          <w:b/>
          <w:bCs/>
          <w:vertAlign w:val="superscript"/>
          <w:lang w:val="ro-MD"/>
        </w:rPr>
        <w:t>1</w:t>
      </w:r>
      <w:r w:rsidRPr="008F0B56">
        <w:rPr>
          <w:b/>
          <w:bCs/>
          <w:lang w:val="ro-MD"/>
        </w:rPr>
        <w:t>.</w:t>
      </w:r>
      <w:r w:rsidRPr="008F0B56">
        <w:rPr>
          <w:lang w:val="ro-MD"/>
        </w:rPr>
        <w:t xml:space="preserve"> Băncile care aplică </w:t>
      </w:r>
      <w:bookmarkStart w:id="3" w:name="_Hlk205451534"/>
      <w:r w:rsidRPr="008F0B56">
        <w:rPr>
          <w:lang w:val="ro-MD"/>
        </w:rPr>
        <w:t>abordarea bazată pe modele interne de rating (</w:t>
      </w:r>
      <w:r w:rsidR="00341559">
        <w:rPr>
          <w:lang w:val="ro-MD"/>
        </w:rPr>
        <w:t xml:space="preserve">în continuare - </w:t>
      </w:r>
      <w:r w:rsidRPr="008F0B56">
        <w:rPr>
          <w:lang w:val="ro-MD"/>
        </w:rPr>
        <w:t>IRB)</w:t>
      </w:r>
      <w:bookmarkEnd w:id="3"/>
      <w:r w:rsidRPr="008F0B56">
        <w:rPr>
          <w:lang w:val="ro-MD"/>
        </w:rPr>
        <w:t xml:space="preserve"> tratează ajustările generale pentru riscul de credit în conformitate cu tratamentul valorilor pierderilor așteptate al</w:t>
      </w:r>
      <w:r w:rsidR="00C435EB">
        <w:rPr>
          <w:lang w:val="ro-MD"/>
        </w:rPr>
        <w:t>e</w:t>
      </w:r>
      <w:r w:rsidRPr="008F0B56">
        <w:rPr>
          <w:lang w:val="ro-MD"/>
        </w:rPr>
        <w:t xml:space="preserve"> deficitului conform abordării</w:t>
      </w:r>
      <w:r w:rsidR="003B4A83">
        <w:rPr>
          <w:lang w:val="ro-MD"/>
        </w:rPr>
        <w:t xml:space="preserve"> IRB</w:t>
      </w:r>
      <w:r w:rsidRPr="008F0B56">
        <w:rPr>
          <w:lang w:val="ro-MD"/>
        </w:rPr>
        <w:t xml:space="preserve"> și al</w:t>
      </w:r>
      <w:r w:rsidR="00C435EB">
        <w:rPr>
          <w:lang w:val="ro-MD"/>
        </w:rPr>
        <w:t>e</w:t>
      </w:r>
      <w:r w:rsidRPr="008F0B56">
        <w:rPr>
          <w:lang w:val="ro-MD"/>
        </w:rPr>
        <w:t xml:space="preserve"> excedentului conform abordării </w:t>
      </w:r>
      <w:r w:rsidR="003B4A83">
        <w:rPr>
          <w:lang w:val="ro-MD"/>
        </w:rPr>
        <w:t>IRB</w:t>
      </w:r>
      <w:r w:rsidRPr="008F0B56">
        <w:rPr>
          <w:lang w:val="ro-MD"/>
        </w:rPr>
        <w:t xml:space="preserve">, precum și cu prevederile </w:t>
      </w:r>
      <w:r w:rsidR="00FB7650">
        <w:rPr>
          <w:lang w:val="ro-MD"/>
        </w:rPr>
        <w:t xml:space="preserve">reglementărilor aferente </w:t>
      </w:r>
      <w:r w:rsidRPr="008F0B56">
        <w:rPr>
          <w:lang w:val="ro-MD"/>
        </w:rPr>
        <w:t>fonduril</w:t>
      </w:r>
      <w:r w:rsidR="00FB7650">
        <w:rPr>
          <w:lang w:val="ro-MD"/>
        </w:rPr>
        <w:t>or</w:t>
      </w:r>
      <w:r w:rsidRPr="008F0B56">
        <w:rPr>
          <w:lang w:val="ro-MD"/>
        </w:rPr>
        <w:t xml:space="preserve"> proprii ale băncilor </w:t>
      </w:r>
      <w:proofErr w:type="spellStart"/>
      <w:r w:rsidRPr="008F0B56">
        <w:rPr>
          <w:lang w:val="ro-MD"/>
        </w:rPr>
        <w:t>şi</w:t>
      </w:r>
      <w:proofErr w:type="spellEnd"/>
      <w:r w:rsidRPr="008F0B56">
        <w:rPr>
          <w:lang w:val="ro-MD"/>
        </w:rPr>
        <w:t xml:space="preserve"> </w:t>
      </w:r>
      <w:proofErr w:type="spellStart"/>
      <w:r w:rsidRPr="008F0B56">
        <w:rPr>
          <w:lang w:val="ro-MD"/>
        </w:rPr>
        <w:t>cerinţel</w:t>
      </w:r>
      <w:r w:rsidR="00FB7650">
        <w:rPr>
          <w:lang w:val="ro-MD"/>
        </w:rPr>
        <w:t>or</w:t>
      </w:r>
      <w:proofErr w:type="spellEnd"/>
      <w:r w:rsidRPr="008F0B56">
        <w:rPr>
          <w:lang w:val="ro-MD"/>
        </w:rPr>
        <w:t xml:space="preserve"> de capital.</w:t>
      </w:r>
    </w:p>
    <w:p w14:paraId="4303E743" w14:textId="79B1BDF2" w:rsidR="008F0B56" w:rsidRPr="008F0B56" w:rsidRDefault="008F0B56" w:rsidP="009E003D">
      <w:pPr>
        <w:pStyle w:val="ListParagraph"/>
        <w:ind w:left="567" w:hanging="283"/>
        <w:jc w:val="both"/>
        <w:rPr>
          <w:lang w:val="ro-MD"/>
        </w:rPr>
      </w:pPr>
      <w:r w:rsidRPr="008F0B56">
        <w:rPr>
          <w:b/>
          <w:bCs/>
          <w:lang w:val="ro-MD"/>
        </w:rPr>
        <w:t>4</w:t>
      </w:r>
      <w:r w:rsidRPr="008F0B56">
        <w:rPr>
          <w:b/>
          <w:bCs/>
          <w:vertAlign w:val="superscript"/>
          <w:lang w:val="ro-MD"/>
        </w:rPr>
        <w:t>2</w:t>
      </w:r>
      <w:r w:rsidRPr="008F0B56">
        <w:rPr>
          <w:b/>
          <w:bCs/>
          <w:lang w:val="ro-MD"/>
        </w:rPr>
        <w:t>.</w:t>
      </w:r>
      <w:r w:rsidRPr="008F0B56">
        <w:rPr>
          <w:lang w:val="ro-MD"/>
        </w:rPr>
        <w:t> </w:t>
      </w:r>
      <w:r w:rsidR="00C435EB">
        <w:rPr>
          <w:lang w:val="ro-MD"/>
        </w:rPr>
        <w:t>Potrivit</w:t>
      </w:r>
      <w:r w:rsidRPr="008F0B56">
        <w:rPr>
          <w:lang w:val="ro-MD"/>
        </w:rPr>
        <w:t xml:space="preserve"> prezentului regulament</w:t>
      </w:r>
      <w:r w:rsidR="00C435EB">
        <w:rPr>
          <w:lang w:val="ro-MD"/>
        </w:rPr>
        <w:t xml:space="preserve"> și</w:t>
      </w:r>
      <w:r w:rsidRPr="008F0B56">
        <w:rPr>
          <w:lang w:val="ro-MD"/>
        </w:rPr>
        <w:t xml:space="preserve"> Regulamentului nr.111/2018 cu privire la tratamentul riscului de credit pentru bănci potrivit abordării standardizate și a abordării </w:t>
      </w:r>
      <w:r w:rsidR="003B4A83">
        <w:rPr>
          <w:lang w:val="ro-MD"/>
        </w:rPr>
        <w:t>IRB</w:t>
      </w:r>
      <w:r w:rsidRPr="008F0B56">
        <w:rPr>
          <w:lang w:val="ro-MD"/>
        </w:rPr>
        <w:t>, ajustările generale și specifice pentru riscul de credit exclud fondurile pentru riscuri bancare generale.</w:t>
      </w:r>
    </w:p>
    <w:p w14:paraId="07CBC1C5" w14:textId="7A159DFA" w:rsidR="008F0B56" w:rsidRPr="008F0B56" w:rsidRDefault="008F0B56" w:rsidP="009E003D">
      <w:pPr>
        <w:pStyle w:val="ListParagraph"/>
        <w:ind w:left="567" w:hanging="283"/>
        <w:jc w:val="both"/>
        <w:rPr>
          <w:lang w:val="ro-MD"/>
        </w:rPr>
      </w:pPr>
      <w:r w:rsidRPr="008F0B56">
        <w:rPr>
          <w:b/>
          <w:bCs/>
          <w:lang w:val="ro-MD"/>
        </w:rPr>
        <w:t>4</w:t>
      </w:r>
      <w:r w:rsidRPr="008F0B56">
        <w:rPr>
          <w:b/>
          <w:bCs/>
          <w:vertAlign w:val="superscript"/>
          <w:lang w:val="ro-MD"/>
        </w:rPr>
        <w:t>3</w:t>
      </w:r>
      <w:r w:rsidRPr="008F0B56">
        <w:rPr>
          <w:b/>
          <w:bCs/>
          <w:lang w:val="ro-MD"/>
        </w:rPr>
        <w:t>.</w:t>
      </w:r>
      <w:r w:rsidRPr="008F0B56">
        <w:rPr>
          <w:lang w:val="ro-MD"/>
        </w:rPr>
        <w:t xml:space="preserve"> Băncile care utilizează abordarea </w:t>
      </w:r>
      <w:r w:rsidR="003B4A83">
        <w:rPr>
          <w:lang w:val="ro-MD"/>
        </w:rPr>
        <w:t>IRB</w:t>
      </w:r>
      <w:r w:rsidRPr="008F0B56">
        <w:rPr>
          <w:lang w:val="ro-MD"/>
        </w:rPr>
        <w:t xml:space="preserve"> și care aplică abordarea standardizată pentru o parte din expunerile lor, pe bază consolidată sau individuală, în conformitate cu condițiile de implementare a abordării IRB pentru diferite clase de expuneri și unități operaționale și condițiile de utilizare parțial</w:t>
      </w:r>
      <w:r w:rsidRPr="008F0B56">
        <w:rPr>
          <w:rFonts w:hint="eastAsia"/>
          <w:lang w:val="ro-MD"/>
        </w:rPr>
        <w:t>ă</w:t>
      </w:r>
      <w:r w:rsidRPr="008F0B56">
        <w:rPr>
          <w:lang w:val="ro-MD"/>
        </w:rPr>
        <w:t xml:space="preserve"> permanent</w:t>
      </w:r>
      <w:r w:rsidRPr="008F0B56">
        <w:rPr>
          <w:rFonts w:hint="eastAsia"/>
          <w:lang w:val="ro-MD"/>
        </w:rPr>
        <w:t>ă</w:t>
      </w:r>
      <w:r w:rsidRPr="008F0B56">
        <w:rPr>
          <w:lang w:val="ro-MD"/>
        </w:rPr>
        <w:t>, stabilesc partea ajustării generale pentru riscul de credit care trebuie supusă tratamentului ajustării generale pentru riscul de credit conform abordării standardizată și cea supusă tratamentului ajustării generale pentru riscul de credit conform abordării IRB, după cum urmează:</w:t>
      </w:r>
    </w:p>
    <w:p w14:paraId="2ED56089" w14:textId="17A3A5CA" w:rsidR="008F0B56" w:rsidRPr="008F0B56" w:rsidRDefault="008F0B56" w:rsidP="009E003D">
      <w:pPr>
        <w:pStyle w:val="ListParagraph"/>
        <w:ind w:left="567"/>
        <w:jc w:val="both"/>
        <w:rPr>
          <w:lang w:val="ro-MD"/>
        </w:rPr>
      </w:pPr>
      <w:r w:rsidRPr="008F0B56">
        <w:rPr>
          <w:lang w:val="ro-MD"/>
        </w:rPr>
        <w:t>1)</w:t>
      </w:r>
      <w:r w:rsidR="00C435EB">
        <w:rPr>
          <w:lang w:val="ro-MD"/>
        </w:rPr>
        <w:t xml:space="preserve"> în</w:t>
      </w:r>
      <w:r w:rsidRPr="008F0B56">
        <w:rPr>
          <w:lang w:val="ro-MD"/>
        </w:rPr>
        <w:t xml:space="preserve"> cazul</w:t>
      </w:r>
      <w:r w:rsidR="00C435EB">
        <w:rPr>
          <w:lang w:val="ro-MD"/>
        </w:rPr>
        <w:t xml:space="preserve"> în care </w:t>
      </w:r>
      <w:r w:rsidRPr="008F0B56">
        <w:rPr>
          <w:lang w:val="ro-MD"/>
        </w:rPr>
        <w:t xml:space="preserve">o bancă inclusă în consolidare aplică exclusiv abordarea </w:t>
      </w:r>
      <w:r w:rsidR="003B4A83">
        <w:rPr>
          <w:lang w:val="ro-MD"/>
        </w:rPr>
        <w:t>IRB</w:t>
      </w:r>
      <w:r w:rsidRPr="008F0B56">
        <w:rPr>
          <w:lang w:val="ro-MD"/>
        </w:rPr>
        <w:t xml:space="preserve">, ajustările generale pentru riscul de credit ale acestei bănci sunt supuse tratamentului prevăzut la </w:t>
      </w:r>
      <w:bookmarkStart w:id="4" w:name="_Hlk205368142"/>
      <w:r w:rsidRPr="008F0B56">
        <w:rPr>
          <w:lang w:val="ro-MD"/>
        </w:rPr>
        <w:t>punctul 4</w:t>
      </w:r>
      <w:r w:rsidRPr="008F0B56">
        <w:rPr>
          <w:vertAlign w:val="superscript"/>
          <w:lang w:val="ro-MD"/>
        </w:rPr>
        <w:t>1</w:t>
      </w:r>
      <w:r w:rsidRPr="008F0B56">
        <w:rPr>
          <w:lang w:val="ro-MD"/>
        </w:rPr>
        <w:t>;</w:t>
      </w:r>
      <w:bookmarkEnd w:id="4"/>
    </w:p>
    <w:p w14:paraId="4AE52390" w14:textId="0F6D49AD" w:rsidR="008F0B56" w:rsidRPr="008F0B56" w:rsidRDefault="008F0B56" w:rsidP="009E003D">
      <w:pPr>
        <w:pStyle w:val="ListParagraph"/>
        <w:ind w:left="567"/>
        <w:jc w:val="both"/>
        <w:rPr>
          <w:lang w:val="ro-MD"/>
        </w:rPr>
      </w:pPr>
      <w:r w:rsidRPr="008F0B56">
        <w:rPr>
          <w:lang w:val="ro-MD"/>
        </w:rPr>
        <w:t>2)</w:t>
      </w:r>
      <w:r w:rsidR="00C435EB">
        <w:rPr>
          <w:lang w:val="ro-MD"/>
        </w:rPr>
        <w:t xml:space="preserve"> în</w:t>
      </w:r>
      <w:r w:rsidRPr="008F0B56">
        <w:rPr>
          <w:lang w:val="ro-MD"/>
        </w:rPr>
        <w:t xml:space="preserve"> cazul</w:t>
      </w:r>
      <w:r w:rsidR="00C435EB">
        <w:rPr>
          <w:lang w:val="ro-MD"/>
        </w:rPr>
        <w:t xml:space="preserve"> în care </w:t>
      </w:r>
      <w:r w:rsidR="00410D97">
        <w:rPr>
          <w:lang w:val="ro-MD"/>
        </w:rPr>
        <w:t xml:space="preserve"> o </w:t>
      </w:r>
      <w:r w:rsidRPr="008F0B56">
        <w:rPr>
          <w:lang w:val="ro-MD"/>
        </w:rPr>
        <w:t>banc</w:t>
      </w:r>
      <w:r w:rsidR="00410D97">
        <w:rPr>
          <w:lang w:val="ro-MD"/>
        </w:rPr>
        <w:t>ă</w:t>
      </w:r>
      <w:r w:rsidRPr="008F0B56">
        <w:rPr>
          <w:lang w:val="ro-MD"/>
        </w:rPr>
        <w:t xml:space="preserve"> inclusă în consolidare aplică exclusiv abordarea standardizată, ajustările generale pentru riscul de credit ale acestei bănci sunt supuse tratamentului prevăzut la punctul 4;</w:t>
      </w:r>
    </w:p>
    <w:p w14:paraId="53922334" w14:textId="1265F067" w:rsidR="008F0B56" w:rsidRPr="008F0B56" w:rsidRDefault="008F0B56" w:rsidP="009E003D">
      <w:pPr>
        <w:pStyle w:val="ListParagraph"/>
        <w:ind w:left="567"/>
        <w:jc w:val="both"/>
        <w:rPr>
          <w:lang w:val="ro-MD"/>
        </w:rPr>
      </w:pPr>
      <w:r w:rsidRPr="008F0B56">
        <w:rPr>
          <w:lang w:val="ro-MD"/>
        </w:rPr>
        <w:t>3) suma rămasă a ajustării pentru riscul de credit se alocă pro rata în conformitate cu proporția cuantumurilor ponderate la risc ale expunerilor care fac obiectul abordării standardizate și a</w:t>
      </w:r>
      <w:r w:rsidR="00410D97">
        <w:rPr>
          <w:lang w:val="ro-MD"/>
        </w:rPr>
        <w:t>le</w:t>
      </w:r>
      <w:r w:rsidRPr="008F0B56">
        <w:rPr>
          <w:lang w:val="ro-MD"/>
        </w:rPr>
        <w:t xml:space="preserve"> celor care fac obiectul abordării IRB.</w:t>
      </w:r>
      <w:r>
        <w:rPr>
          <w:lang w:val="ro-MD"/>
        </w:rPr>
        <w:t>”;</w:t>
      </w:r>
    </w:p>
    <w:p w14:paraId="4925063B" w14:textId="03324724" w:rsidR="00652C0E" w:rsidRPr="008F69DA" w:rsidRDefault="008F0B56" w:rsidP="009E003D">
      <w:pPr>
        <w:pStyle w:val="ListParagraph"/>
        <w:ind w:left="567" w:hanging="283"/>
        <w:jc w:val="both"/>
        <w:rPr>
          <w:lang w:val="ro-MD"/>
        </w:rPr>
      </w:pPr>
      <w:r w:rsidRPr="008F69DA">
        <w:rPr>
          <w:lang w:val="ro-MD"/>
        </w:rPr>
        <w:t>2.</w:t>
      </w:r>
      <w:r w:rsidR="00156C12" w:rsidRPr="008F69DA">
        <w:rPr>
          <w:lang w:val="ro-MD"/>
        </w:rPr>
        <w:t>3</w:t>
      </w:r>
      <w:r w:rsidRPr="008F69DA">
        <w:rPr>
          <w:lang w:val="ro-MD"/>
        </w:rPr>
        <w:t xml:space="preserve">. </w:t>
      </w:r>
      <w:r w:rsidR="00652C0E" w:rsidRPr="008F69DA">
        <w:rPr>
          <w:lang w:val="ro-MD"/>
        </w:rPr>
        <w:t>se completează cu punct</w:t>
      </w:r>
      <w:r w:rsidRPr="008F69DA">
        <w:rPr>
          <w:lang w:val="ro-MD"/>
        </w:rPr>
        <w:t>u</w:t>
      </w:r>
      <w:r w:rsidR="00652C0E" w:rsidRPr="008F69DA">
        <w:rPr>
          <w:lang w:val="ro-MD"/>
        </w:rPr>
        <w:t>l 11</w:t>
      </w:r>
      <w:r w:rsidR="00EB166E" w:rsidRPr="008F69DA">
        <w:rPr>
          <w:vertAlign w:val="superscript"/>
          <w:lang w:val="ro-MD"/>
        </w:rPr>
        <w:t>1</w:t>
      </w:r>
      <w:r w:rsidR="00652C0E" w:rsidRPr="008F69DA">
        <w:rPr>
          <w:lang w:val="ro-MD"/>
        </w:rPr>
        <w:t xml:space="preserve"> cu următorul cuprins:</w:t>
      </w:r>
    </w:p>
    <w:p w14:paraId="3B188085" w14:textId="494958CF" w:rsidR="00EB166E" w:rsidRPr="00EB166E" w:rsidRDefault="00EB166E" w:rsidP="009E003D">
      <w:pPr>
        <w:pStyle w:val="ListParagraph"/>
        <w:ind w:left="567" w:hanging="283"/>
        <w:jc w:val="both"/>
        <w:rPr>
          <w:lang w:val="ro-MD"/>
        </w:rPr>
      </w:pPr>
      <w:r>
        <w:rPr>
          <w:lang w:val="ro-MD"/>
        </w:rPr>
        <w:t>„</w:t>
      </w:r>
      <w:r w:rsidRPr="00EB166E">
        <w:rPr>
          <w:b/>
          <w:bCs/>
          <w:lang w:val="ro-MD"/>
        </w:rPr>
        <w:t>11</w:t>
      </w:r>
      <w:r w:rsidRPr="00EB166E">
        <w:rPr>
          <w:b/>
          <w:bCs/>
          <w:vertAlign w:val="superscript"/>
          <w:lang w:val="ro-MD"/>
        </w:rPr>
        <w:t>1</w:t>
      </w:r>
      <w:r w:rsidRPr="00EB166E">
        <w:rPr>
          <w:lang w:val="ro-MD"/>
        </w:rPr>
        <w:t xml:space="preserve">. Fără a aduce atingere </w:t>
      </w:r>
      <w:r w:rsidR="00E60DD7" w:rsidRPr="00EB166E">
        <w:rPr>
          <w:lang w:val="ro-MD"/>
        </w:rPr>
        <w:t>punct</w:t>
      </w:r>
      <w:r w:rsidR="00E60DD7">
        <w:rPr>
          <w:lang w:val="ro-MD"/>
        </w:rPr>
        <w:t>el</w:t>
      </w:r>
      <w:r w:rsidR="009E71E2">
        <w:rPr>
          <w:lang w:val="ro-MD"/>
        </w:rPr>
        <w:t>or</w:t>
      </w:r>
      <w:r w:rsidR="00E60DD7" w:rsidRPr="00EB166E">
        <w:rPr>
          <w:lang w:val="ro-MD"/>
        </w:rPr>
        <w:t xml:space="preserve"> </w:t>
      </w:r>
      <w:r w:rsidRPr="00EB166E">
        <w:rPr>
          <w:lang w:val="ro-MD"/>
        </w:rPr>
        <w:t>6</w:t>
      </w:r>
      <w:r w:rsidR="00E60DD7">
        <w:rPr>
          <w:lang w:val="ro-MD"/>
        </w:rPr>
        <w:t xml:space="preserve"> și 7</w:t>
      </w:r>
      <w:r w:rsidRPr="00EB166E">
        <w:rPr>
          <w:lang w:val="ro-MD"/>
        </w:rPr>
        <w:t>, atunci când calculează ajustările specifice pentru riscul de credit în scopul atribuirii ponderilor de risc</w:t>
      </w:r>
      <w:r w:rsidR="009E71E2">
        <w:rPr>
          <w:lang w:val="ro-MD"/>
        </w:rPr>
        <w:t>,</w:t>
      </w:r>
      <w:r w:rsidRPr="00EB166E">
        <w:rPr>
          <w:lang w:val="ro-MD"/>
        </w:rPr>
        <w:t xml:space="preserve"> menționate la punctul 73 din  </w:t>
      </w:r>
      <w:bookmarkStart w:id="5" w:name="_Hlk205451698"/>
      <w:r w:rsidRPr="00EB166E">
        <w:rPr>
          <w:lang w:val="ro-MD"/>
        </w:rPr>
        <w:t xml:space="preserve">Regulamentului nr.111/2018 cu privire la tratamentul riscului de credit pentru bănci potrivit </w:t>
      </w:r>
      <w:r w:rsidRPr="00EB166E">
        <w:rPr>
          <w:lang w:val="ro-MD"/>
        </w:rPr>
        <w:lastRenderedPageBreak/>
        <w:t>abordării standardizate</w:t>
      </w:r>
      <w:bookmarkEnd w:id="5"/>
      <w:r w:rsidRPr="00EB166E">
        <w:rPr>
          <w:lang w:val="ro-MD"/>
        </w:rPr>
        <w:t>,</w:t>
      </w:r>
      <w:r w:rsidRPr="00EB166E">
        <w:rPr>
          <w:b/>
          <w:bCs/>
          <w:lang w:val="ro-MD"/>
        </w:rPr>
        <w:t xml:space="preserve"> </w:t>
      </w:r>
      <w:r w:rsidRPr="00EB166E">
        <w:rPr>
          <w:lang w:val="ro-MD"/>
        </w:rPr>
        <w:t>părții negarantate a unei expuneri aflate în stare de nerambursare, băncile includ orice diferență pozitivă dintre suma datorată de debitor pentru expunerea respectivă și suma următoarelor elemente:</w:t>
      </w:r>
    </w:p>
    <w:p w14:paraId="36074409" w14:textId="4A91AABB" w:rsidR="00EB166E" w:rsidRPr="00EB166E" w:rsidRDefault="008F0B56" w:rsidP="009E003D">
      <w:pPr>
        <w:pStyle w:val="ListParagraph"/>
        <w:ind w:left="567"/>
        <w:jc w:val="both"/>
        <w:rPr>
          <w:lang w:val="ro-MD"/>
        </w:rPr>
      </w:pPr>
      <w:r>
        <w:rPr>
          <w:lang w:val="ro-MD"/>
        </w:rPr>
        <w:t>1</w:t>
      </w:r>
      <w:r w:rsidR="00EB166E" w:rsidRPr="00EB166E">
        <w:rPr>
          <w:lang w:val="ro-MD"/>
        </w:rPr>
        <w:t xml:space="preserve">) reducerea fondurilor proprii suplimentare în cazul în care expunerea respectivă a fost scoasă integral în </w:t>
      </w:r>
      <w:proofErr w:type="spellStart"/>
      <w:r w:rsidR="00EB166E" w:rsidRPr="00EB166E">
        <w:rPr>
          <w:lang w:val="ro-MD"/>
        </w:rPr>
        <w:t>extrabilanț</w:t>
      </w:r>
      <w:proofErr w:type="spellEnd"/>
      <w:r w:rsidR="00EB166E" w:rsidRPr="00EB166E">
        <w:rPr>
          <w:lang w:val="ro-MD"/>
        </w:rPr>
        <w:t>;</w:t>
      </w:r>
    </w:p>
    <w:p w14:paraId="4FC9DF51" w14:textId="278D91E5" w:rsidR="00EB166E" w:rsidRDefault="008F0B56" w:rsidP="009E003D">
      <w:pPr>
        <w:pStyle w:val="ListParagraph"/>
        <w:ind w:left="567"/>
        <w:jc w:val="both"/>
        <w:rPr>
          <w:lang w:val="ro-MD"/>
        </w:rPr>
      </w:pPr>
      <w:r>
        <w:rPr>
          <w:lang w:val="ro-MD"/>
        </w:rPr>
        <w:t>2</w:t>
      </w:r>
      <w:r w:rsidR="00EB166E" w:rsidRPr="00EB166E">
        <w:rPr>
          <w:lang w:val="ro-MD"/>
        </w:rPr>
        <w:t>) orice reduceri deja existente ale fondurilor proprii legate de expunerea respectivă.</w:t>
      </w:r>
      <w:r w:rsidR="00EB166E">
        <w:rPr>
          <w:lang w:val="ro-MD"/>
        </w:rPr>
        <w:t>”;</w:t>
      </w:r>
    </w:p>
    <w:p w14:paraId="3B13F781" w14:textId="46A1B535" w:rsidR="002F4BA6" w:rsidRPr="008F69DA" w:rsidRDefault="00EB166E" w:rsidP="009E003D">
      <w:pPr>
        <w:pStyle w:val="ListParagraph"/>
        <w:ind w:left="567" w:hanging="283"/>
        <w:jc w:val="both"/>
        <w:rPr>
          <w:lang w:val="ro-MD"/>
        </w:rPr>
      </w:pPr>
      <w:r>
        <w:rPr>
          <w:lang w:val="ro-MD"/>
        </w:rPr>
        <w:t>2.</w:t>
      </w:r>
      <w:r w:rsidR="00156C12">
        <w:rPr>
          <w:lang w:val="ro-MD"/>
        </w:rPr>
        <w:t>4</w:t>
      </w:r>
      <w:r>
        <w:rPr>
          <w:lang w:val="ro-MD"/>
        </w:rPr>
        <w:t xml:space="preserve">. </w:t>
      </w:r>
      <w:r w:rsidR="002F4BA6" w:rsidRPr="008F69DA">
        <w:rPr>
          <w:lang w:val="ro-MD"/>
        </w:rPr>
        <w:t>se completează cu punctele 1</w:t>
      </w:r>
      <w:r w:rsidR="009D3201" w:rsidRPr="008F69DA">
        <w:rPr>
          <w:lang w:val="ro-MD"/>
        </w:rPr>
        <w:t>2</w:t>
      </w:r>
      <w:r w:rsidR="002F4BA6" w:rsidRPr="008F69DA">
        <w:rPr>
          <w:vertAlign w:val="superscript"/>
          <w:lang w:val="ro-MD"/>
        </w:rPr>
        <w:t>1</w:t>
      </w:r>
      <w:r w:rsidR="002F4BA6" w:rsidRPr="008F69DA">
        <w:rPr>
          <w:lang w:val="ro-MD"/>
        </w:rPr>
        <w:t xml:space="preserve"> </w:t>
      </w:r>
      <w:r w:rsidR="009D3201" w:rsidRPr="008F69DA">
        <w:rPr>
          <w:lang w:val="ro-MD"/>
        </w:rPr>
        <w:t>și 12</w:t>
      </w:r>
      <w:r w:rsidR="009D3201" w:rsidRPr="008F69DA">
        <w:rPr>
          <w:vertAlign w:val="superscript"/>
          <w:lang w:val="ro-MD"/>
        </w:rPr>
        <w:t>2</w:t>
      </w:r>
      <w:r w:rsidR="009D3201" w:rsidRPr="008F69DA">
        <w:rPr>
          <w:lang w:val="ro-MD"/>
        </w:rPr>
        <w:t xml:space="preserve"> </w:t>
      </w:r>
      <w:r w:rsidR="002F4BA6" w:rsidRPr="008F69DA">
        <w:rPr>
          <w:lang w:val="ro-MD"/>
        </w:rPr>
        <w:t>cu următorul cuprins:</w:t>
      </w:r>
    </w:p>
    <w:p w14:paraId="17646BEF" w14:textId="1408603E" w:rsidR="009D3201" w:rsidRPr="009D3201" w:rsidRDefault="009D3201" w:rsidP="009E003D">
      <w:pPr>
        <w:pStyle w:val="ListParagraph"/>
        <w:ind w:left="567" w:hanging="283"/>
        <w:jc w:val="both"/>
        <w:rPr>
          <w:lang w:val="ro-MD"/>
        </w:rPr>
      </w:pPr>
      <w:r w:rsidRPr="008F69DA">
        <w:rPr>
          <w:lang w:val="ro-MD"/>
        </w:rPr>
        <w:t>„</w:t>
      </w:r>
      <w:r w:rsidRPr="009D3201">
        <w:rPr>
          <w:b/>
          <w:bCs/>
          <w:lang w:val="ro-MD"/>
        </w:rPr>
        <w:t>12</w:t>
      </w:r>
      <w:r w:rsidRPr="009D3201">
        <w:rPr>
          <w:b/>
          <w:bCs/>
          <w:vertAlign w:val="superscript"/>
          <w:lang w:val="ro-MD"/>
        </w:rPr>
        <w:t>1</w:t>
      </w:r>
      <w:r w:rsidRPr="009D3201">
        <w:rPr>
          <w:b/>
          <w:bCs/>
          <w:lang w:val="ro-MD"/>
        </w:rPr>
        <w:t>.</w:t>
      </w:r>
      <w:r w:rsidRPr="009D3201">
        <w:rPr>
          <w:vertAlign w:val="superscript"/>
          <w:lang w:val="ro-MD"/>
        </w:rPr>
        <w:t xml:space="preserve"> </w:t>
      </w:r>
      <w:r w:rsidRPr="009D3201">
        <w:rPr>
          <w:lang w:val="ro-MD"/>
        </w:rPr>
        <w:t xml:space="preserve">Pentru </w:t>
      </w:r>
      <w:bookmarkStart w:id="6" w:name="_Hlk205198906"/>
      <w:r w:rsidRPr="009D3201">
        <w:rPr>
          <w:lang w:val="ro-MD"/>
        </w:rPr>
        <w:t>tratamentul valorilor pierderilor așteptate al</w:t>
      </w:r>
      <w:r w:rsidR="009E71E2">
        <w:rPr>
          <w:lang w:val="ro-MD"/>
        </w:rPr>
        <w:t>e</w:t>
      </w:r>
      <w:r w:rsidRPr="009D3201">
        <w:rPr>
          <w:lang w:val="ro-MD"/>
        </w:rPr>
        <w:t xml:space="preserve"> deficitului conform abordării </w:t>
      </w:r>
      <w:r w:rsidR="003B4A83">
        <w:rPr>
          <w:lang w:val="ro-MD"/>
        </w:rPr>
        <w:t>IRB</w:t>
      </w:r>
      <w:r w:rsidRPr="009D3201">
        <w:rPr>
          <w:lang w:val="ro-MD"/>
        </w:rPr>
        <w:t xml:space="preserve"> și al</w:t>
      </w:r>
      <w:r w:rsidR="009E71E2">
        <w:rPr>
          <w:lang w:val="ro-MD"/>
        </w:rPr>
        <w:t>e</w:t>
      </w:r>
      <w:r w:rsidRPr="009D3201">
        <w:rPr>
          <w:lang w:val="ro-MD"/>
        </w:rPr>
        <w:t xml:space="preserve"> excedentului conform abordării </w:t>
      </w:r>
      <w:bookmarkEnd w:id="6"/>
      <w:r w:rsidR="003B4A83">
        <w:rPr>
          <w:lang w:val="ro-MD"/>
        </w:rPr>
        <w:t xml:space="preserve">IRB </w:t>
      </w:r>
      <w:r w:rsidRPr="009D3201">
        <w:rPr>
          <w:lang w:val="ro-MD"/>
        </w:rPr>
        <w:t>pentru un grup de expuneri care nu se află în stare de nerambursare, băncile nu au obligația de a atribui o ajustare specifică pentru riscul de credit unei singure expuneri din grupul respectiv.</w:t>
      </w:r>
    </w:p>
    <w:p w14:paraId="028D6F4B" w14:textId="5CAB7295" w:rsidR="009D3201" w:rsidRPr="009D3201" w:rsidRDefault="009D3201" w:rsidP="009E003D">
      <w:pPr>
        <w:pStyle w:val="ListParagraph"/>
        <w:ind w:left="567" w:hanging="283"/>
        <w:jc w:val="both"/>
        <w:rPr>
          <w:lang w:val="ro-MD"/>
        </w:rPr>
      </w:pPr>
      <w:r w:rsidRPr="009D3201">
        <w:rPr>
          <w:b/>
          <w:bCs/>
          <w:lang w:val="ro-MD"/>
        </w:rPr>
        <w:t>12</w:t>
      </w:r>
      <w:r w:rsidRPr="009D3201">
        <w:rPr>
          <w:b/>
          <w:bCs/>
          <w:vertAlign w:val="superscript"/>
          <w:lang w:val="ro-MD"/>
        </w:rPr>
        <w:t>2</w:t>
      </w:r>
      <w:r w:rsidRPr="009D3201">
        <w:rPr>
          <w:b/>
          <w:bCs/>
          <w:lang w:val="ro-MD"/>
        </w:rPr>
        <w:t>. </w:t>
      </w:r>
      <w:r w:rsidRPr="009D3201">
        <w:rPr>
          <w:lang w:val="ro-MD"/>
        </w:rPr>
        <w:t xml:space="preserve">În cazul în care o ajustare specifică pentru riscul de credit se referă la un grup de expuneri pentru care cerințele de fonduri proprii pentru riscul de credit sunt calculate </w:t>
      </w:r>
      <w:r w:rsidRPr="004106B4">
        <w:rPr>
          <w:lang w:val="ro-MD"/>
        </w:rPr>
        <w:t>în parte</w:t>
      </w:r>
      <w:r w:rsidR="004106B4" w:rsidRPr="004106B4">
        <w:rPr>
          <w:lang w:val="ro-MD"/>
        </w:rPr>
        <w:t xml:space="preserve"> </w:t>
      </w:r>
      <w:r w:rsidRPr="004106B4">
        <w:rPr>
          <w:lang w:val="ro-MD"/>
        </w:rPr>
        <w:t xml:space="preserve">în temeiul abordării standardizate și în parte în temeiul </w:t>
      </w:r>
      <w:bookmarkStart w:id="7" w:name="_Hlk205198746"/>
      <w:r w:rsidRPr="004106B4">
        <w:rPr>
          <w:lang w:val="ro-MD"/>
        </w:rPr>
        <w:t xml:space="preserve">abordării </w:t>
      </w:r>
      <w:bookmarkEnd w:id="7"/>
      <w:r w:rsidR="003B4A83" w:rsidRPr="004106B4">
        <w:rPr>
          <w:lang w:val="ro-MD"/>
        </w:rPr>
        <w:t>IRB</w:t>
      </w:r>
      <w:r w:rsidRPr="004106B4">
        <w:rPr>
          <w:lang w:val="ro-MD"/>
        </w:rPr>
        <w:t>, banca atribuie</w:t>
      </w:r>
      <w:r w:rsidRPr="009D3201">
        <w:rPr>
          <w:lang w:val="ro-MD"/>
        </w:rPr>
        <w:t xml:space="preserve"> acea ajustare specifică pentru riscul de credit grupului de expuneri acoperit de fiecare dintre cele două abordări, proporțional cu valorile expunerilor ponderate la risc ale grupului înainte de aplicarea acțiunilor la </w:t>
      </w:r>
      <w:r w:rsidR="003B4A83" w:rsidRPr="009D3201">
        <w:rPr>
          <w:lang w:val="ro-MD"/>
        </w:rPr>
        <w:t>c</w:t>
      </w:r>
      <w:r w:rsidR="003B4A83">
        <w:rPr>
          <w:lang w:val="ro-MD"/>
        </w:rPr>
        <w:t>a</w:t>
      </w:r>
      <w:r w:rsidR="003B4A83" w:rsidRPr="009D3201">
        <w:rPr>
          <w:lang w:val="ro-MD"/>
        </w:rPr>
        <w:t xml:space="preserve">re </w:t>
      </w:r>
      <w:r w:rsidRPr="009D3201">
        <w:rPr>
          <w:lang w:val="ro-MD"/>
        </w:rPr>
        <w:t>se face referire la punctele 12 și 12</w:t>
      </w:r>
      <w:r w:rsidRPr="009D3201">
        <w:rPr>
          <w:vertAlign w:val="superscript"/>
          <w:lang w:val="ro-MD"/>
        </w:rPr>
        <w:t>1</w:t>
      </w:r>
      <w:r w:rsidRPr="009D3201">
        <w:rPr>
          <w:lang w:val="ro-MD"/>
        </w:rPr>
        <w:t>. În acest scop, valorile expunerilor sunt determinate fără a se ține seama de ajustările specifice pentru riscul de credit.</w:t>
      </w:r>
      <w:r>
        <w:rPr>
          <w:lang w:val="ro-MD"/>
        </w:rPr>
        <w:t>”</w:t>
      </w:r>
      <w:r w:rsidR="00ED728A">
        <w:rPr>
          <w:lang w:val="ro-MD"/>
        </w:rPr>
        <w:t>;</w:t>
      </w:r>
    </w:p>
    <w:p w14:paraId="02C68827" w14:textId="24680E8F" w:rsidR="002464A3" w:rsidRDefault="008F0B56" w:rsidP="009E003D">
      <w:pPr>
        <w:pStyle w:val="ListParagraph"/>
        <w:ind w:left="567" w:hanging="283"/>
        <w:jc w:val="both"/>
        <w:rPr>
          <w:lang w:val="ro-MD"/>
        </w:rPr>
      </w:pPr>
      <w:r>
        <w:rPr>
          <w:lang w:val="ro-MD"/>
        </w:rPr>
        <w:t>2.</w:t>
      </w:r>
      <w:r w:rsidR="00156C12">
        <w:rPr>
          <w:lang w:val="ro-MD"/>
        </w:rPr>
        <w:t>5</w:t>
      </w:r>
      <w:r>
        <w:rPr>
          <w:lang w:val="ro-MD"/>
        </w:rPr>
        <w:t xml:space="preserve">. </w:t>
      </w:r>
      <w:r w:rsidR="00ED728A">
        <w:rPr>
          <w:lang w:val="ro-MD"/>
        </w:rPr>
        <w:t>d</w:t>
      </w:r>
      <w:r w:rsidR="002464A3">
        <w:rPr>
          <w:lang w:val="ro-MD"/>
        </w:rPr>
        <w:t xml:space="preserve">enumirea capitolului IV va avea următorul conținut: </w:t>
      </w:r>
    </w:p>
    <w:p w14:paraId="05E316C1" w14:textId="574B69CE" w:rsidR="002464A3" w:rsidRPr="002464A3" w:rsidRDefault="002464A3" w:rsidP="009E003D">
      <w:pPr>
        <w:pStyle w:val="ListParagraph"/>
        <w:ind w:left="567" w:hanging="283"/>
        <w:jc w:val="center"/>
        <w:rPr>
          <w:b/>
          <w:bCs/>
          <w:lang w:val="ro-MD"/>
        </w:rPr>
      </w:pPr>
      <w:r>
        <w:rPr>
          <w:b/>
          <w:bCs/>
          <w:lang w:val="ro-MD"/>
        </w:rPr>
        <w:t>„</w:t>
      </w:r>
      <w:r w:rsidRPr="002464A3">
        <w:rPr>
          <w:b/>
          <w:bCs/>
          <w:lang w:val="ro-MD"/>
        </w:rPr>
        <w:t>Capitolul IV</w:t>
      </w:r>
    </w:p>
    <w:p w14:paraId="740216DD" w14:textId="097F9492" w:rsidR="002464A3" w:rsidRPr="002464A3" w:rsidRDefault="002464A3" w:rsidP="009E003D">
      <w:pPr>
        <w:pStyle w:val="ListParagraph"/>
        <w:ind w:left="567" w:hanging="283"/>
        <w:jc w:val="center"/>
        <w:rPr>
          <w:b/>
          <w:bCs/>
          <w:lang w:val="ro-MD"/>
        </w:rPr>
      </w:pPr>
      <w:r w:rsidRPr="002464A3">
        <w:rPr>
          <w:b/>
          <w:bCs/>
          <w:lang w:val="ro-MD"/>
        </w:rPr>
        <w:t>CALCULUL AJUSTĂRILOR PENTRU RISCUL DE CREDIT ÎN SCOPUL DETERMINĂRII VALORII EXPUNERII ȘI ÎN SCOPUL DETERMINĂRII STĂRII DE NERAMBURSARE</w:t>
      </w:r>
      <w:r>
        <w:rPr>
          <w:b/>
          <w:bCs/>
          <w:lang w:val="ro-MD"/>
        </w:rPr>
        <w:t>”</w:t>
      </w:r>
    </w:p>
    <w:p w14:paraId="6B7D7546" w14:textId="442C4485" w:rsidR="00EB166E" w:rsidRPr="008F69DA" w:rsidRDefault="002464A3" w:rsidP="009E003D">
      <w:pPr>
        <w:pStyle w:val="ListParagraph"/>
        <w:ind w:left="567" w:hanging="283"/>
        <w:jc w:val="both"/>
        <w:rPr>
          <w:lang w:val="ro-MD"/>
        </w:rPr>
      </w:pPr>
      <w:r>
        <w:rPr>
          <w:lang w:val="ro-MD"/>
        </w:rPr>
        <w:t xml:space="preserve">2.6. </w:t>
      </w:r>
      <w:r w:rsidR="008F0B56" w:rsidRPr="008F69DA">
        <w:rPr>
          <w:lang w:val="ro-MD"/>
        </w:rPr>
        <w:t>se completează cu capitolul V cu următorul cuprins:</w:t>
      </w:r>
    </w:p>
    <w:p w14:paraId="79A0F7FB" w14:textId="77777777" w:rsidR="00ED728A" w:rsidRDefault="008F0B56" w:rsidP="009E003D">
      <w:pPr>
        <w:pStyle w:val="ListParagraph"/>
        <w:ind w:left="567" w:hanging="283"/>
        <w:jc w:val="center"/>
        <w:rPr>
          <w:b/>
          <w:bCs/>
          <w:lang w:val="ro-MD"/>
        </w:rPr>
      </w:pPr>
      <w:r w:rsidRPr="008F69DA">
        <w:rPr>
          <w:lang w:val="ro-MD"/>
        </w:rPr>
        <w:t>„</w:t>
      </w:r>
      <w:r w:rsidRPr="008F0B56">
        <w:rPr>
          <w:b/>
          <w:bCs/>
          <w:lang w:val="ro-MD"/>
        </w:rPr>
        <w:t>Capitolul V</w:t>
      </w:r>
    </w:p>
    <w:p w14:paraId="1B463115" w14:textId="0416CC1C" w:rsidR="008F0B56" w:rsidRPr="008F0B56" w:rsidRDefault="004B3773" w:rsidP="009E003D">
      <w:pPr>
        <w:pStyle w:val="ListParagraph"/>
        <w:ind w:left="567" w:hanging="283"/>
        <w:jc w:val="center"/>
        <w:rPr>
          <w:b/>
          <w:bCs/>
          <w:lang w:val="ro-MD"/>
        </w:rPr>
      </w:pPr>
      <w:r>
        <w:rPr>
          <w:b/>
          <w:bCs/>
          <w:lang w:val="ro-MD"/>
        </w:rPr>
        <w:t xml:space="preserve"> </w:t>
      </w:r>
      <w:r w:rsidR="008F0B56" w:rsidRPr="008F0B56">
        <w:rPr>
          <w:b/>
          <w:bCs/>
          <w:lang w:val="ro-MD"/>
        </w:rPr>
        <w:t xml:space="preserve">CALCULUL AJUSTĂRILOR GENERALE ȘI AL AJUSTĂRILOR SPECIFICE PENTRU RISCUL DE CREDIT ÎN SCOPUL TRATĂRII VALORILOR PIERDERILOR AȘTEPTATE ÎN CONFORMITATE CU </w:t>
      </w:r>
      <w:bookmarkStart w:id="8" w:name="_Hlk205213333"/>
      <w:r w:rsidR="008F0B56" w:rsidRPr="008F0B56">
        <w:rPr>
          <w:b/>
          <w:bCs/>
          <w:lang w:val="ro-MD"/>
        </w:rPr>
        <w:t xml:space="preserve">TRATAMENTUL VALORILOR PIERDERILOR AȘTEPTATE, AL DEFICITULUI CONFORM ABORDĂRII PE </w:t>
      </w:r>
      <w:r w:rsidR="003B4A83">
        <w:rPr>
          <w:b/>
          <w:bCs/>
          <w:lang w:val="ro-MD"/>
        </w:rPr>
        <w:t>IRB</w:t>
      </w:r>
      <w:r w:rsidR="008F0B56" w:rsidRPr="008F0B56">
        <w:rPr>
          <w:b/>
          <w:bCs/>
          <w:lang w:val="ro-MD"/>
        </w:rPr>
        <w:t xml:space="preserve"> ȘI AL EXCEDENTULUI CONFORM ABORDĂRII </w:t>
      </w:r>
      <w:r w:rsidR="003B4A83">
        <w:rPr>
          <w:b/>
          <w:bCs/>
          <w:lang w:val="ro-MD"/>
        </w:rPr>
        <w:t>IRB</w:t>
      </w:r>
    </w:p>
    <w:bookmarkEnd w:id="8"/>
    <w:p w14:paraId="6ED5B084" w14:textId="378830B3" w:rsidR="008F0B56" w:rsidRPr="008F0B56" w:rsidRDefault="008F0B56" w:rsidP="009E003D">
      <w:pPr>
        <w:pStyle w:val="ListParagraph"/>
        <w:ind w:left="567" w:hanging="283"/>
        <w:jc w:val="both"/>
        <w:rPr>
          <w:lang w:val="ro-MD"/>
        </w:rPr>
      </w:pPr>
      <w:r w:rsidRPr="008F0B56">
        <w:rPr>
          <w:b/>
          <w:bCs/>
          <w:lang w:val="ro-MD"/>
        </w:rPr>
        <w:t>16.</w:t>
      </w:r>
      <w:r w:rsidRPr="008F0B56">
        <w:rPr>
          <w:lang w:val="ro-MD"/>
        </w:rPr>
        <w:t xml:space="preserve"> În scopul tratării valorilor pierderilor așteptate în conformitate cu tratamentul valorilor pierderilor așteptate, al deficitului conform abordării </w:t>
      </w:r>
      <w:r w:rsidR="003B4A83">
        <w:rPr>
          <w:lang w:val="ro-MD"/>
        </w:rPr>
        <w:t>IRB</w:t>
      </w:r>
      <w:r w:rsidRPr="008F0B56">
        <w:rPr>
          <w:lang w:val="ro-MD"/>
        </w:rPr>
        <w:t xml:space="preserve"> și al excedentului conform abordării </w:t>
      </w:r>
      <w:r w:rsidR="003B4A83">
        <w:rPr>
          <w:lang w:val="ro-MD"/>
        </w:rPr>
        <w:t>IRB</w:t>
      </w:r>
      <w:r w:rsidRPr="008F0B56">
        <w:rPr>
          <w:lang w:val="ro-MD"/>
        </w:rPr>
        <w:t xml:space="preserve">, banca calculează totalul ajustărilor generale pentru riscul de credit aferente expunerilor incluse în tratarea valorilor pierderilor așteptate ca fiind suma valorilor identificate ca ajustări generale pentru riscul de credit în conformitate cu capitolul II din prezentul regulament, pe care banca le-a atribuit în conformitate cu prevederile </w:t>
      </w:r>
      <w:r w:rsidR="007D7946" w:rsidRPr="008F0B56">
        <w:rPr>
          <w:lang w:val="ro-MD"/>
        </w:rPr>
        <w:t>punct</w:t>
      </w:r>
      <w:r w:rsidR="007D7946">
        <w:rPr>
          <w:lang w:val="ro-MD"/>
        </w:rPr>
        <w:t>ului</w:t>
      </w:r>
      <w:r w:rsidR="007D7946" w:rsidRPr="008F0B56">
        <w:rPr>
          <w:lang w:val="ro-MD"/>
        </w:rPr>
        <w:t xml:space="preserve"> </w:t>
      </w:r>
      <w:r w:rsidRPr="008F0B56">
        <w:rPr>
          <w:lang w:val="ro-MD"/>
        </w:rPr>
        <w:t>4</w:t>
      </w:r>
      <w:r w:rsidRPr="008F0B56">
        <w:rPr>
          <w:vertAlign w:val="superscript"/>
          <w:lang w:val="ro-MD"/>
        </w:rPr>
        <w:t>3</w:t>
      </w:r>
      <w:r w:rsidRPr="008F0B56">
        <w:rPr>
          <w:lang w:val="ro-MD"/>
        </w:rPr>
        <w:t xml:space="preserve">. </w:t>
      </w:r>
    </w:p>
    <w:p w14:paraId="16E1B982" w14:textId="7C7664DE" w:rsidR="008F0B56" w:rsidRPr="008F0B56" w:rsidRDefault="008F0B56" w:rsidP="009E003D">
      <w:pPr>
        <w:pStyle w:val="ListParagraph"/>
        <w:ind w:left="567" w:hanging="283"/>
        <w:jc w:val="both"/>
        <w:rPr>
          <w:lang w:val="ro-MD"/>
        </w:rPr>
      </w:pPr>
      <w:r w:rsidRPr="008F0B56">
        <w:rPr>
          <w:b/>
          <w:bCs/>
          <w:lang w:val="ro-MD"/>
        </w:rPr>
        <w:t>17.</w:t>
      </w:r>
      <w:r w:rsidRPr="008F0B56">
        <w:rPr>
          <w:lang w:val="ro-MD"/>
        </w:rPr>
        <w:t xml:space="preserve"> În scopul tratării valorilor pierderilor așteptate în conformitate cu tratamentul valorilor pierderilor așteptate, al deficitului conform abordării </w:t>
      </w:r>
      <w:r w:rsidR="003B4A83">
        <w:rPr>
          <w:lang w:val="ro-MD"/>
        </w:rPr>
        <w:t>IRB</w:t>
      </w:r>
      <w:r w:rsidRPr="008F0B56">
        <w:rPr>
          <w:lang w:val="ro-MD"/>
        </w:rPr>
        <w:t xml:space="preserve"> și al excedentului conform abordării </w:t>
      </w:r>
      <w:r w:rsidR="003B4A83">
        <w:rPr>
          <w:lang w:val="ro-MD"/>
        </w:rPr>
        <w:t>IRB</w:t>
      </w:r>
      <w:r w:rsidRPr="008F0B56">
        <w:rPr>
          <w:lang w:val="ro-MD"/>
        </w:rPr>
        <w:t>, totalul ajustărilor specifice pentru riscul de credit aferente expunerilor incluse în tratamentul valorilor pierderilor așteptate este calculat ca fiind egal cu suma valorilor de la subpunctele 1) și 2), cu excepția expunerilor aflate în stare de nerambursare:</w:t>
      </w:r>
    </w:p>
    <w:p w14:paraId="6C9665F3" w14:textId="49575E43" w:rsidR="008F0B56" w:rsidRPr="008F0B56" w:rsidRDefault="008F0B56" w:rsidP="009E003D">
      <w:pPr>
        <w:pStyle w:val="ListParagraph"/>
        <w:ind w:left="567"/>
        <w:jc w:val="both"/>
        <w:rPr>
          <w:lang w:val="ro-MD"/>
        </w:rPr>
      </w:pPr>
      <w:r w:rsidRPr="008F0B56">
        <w:rPr>
          <w:lang w:val="ro-MD"/>
        </w:rPr>
        <w:t xml:space="preserve">1) sumele identificate ca ajustări specifice pentru riscul de credit în conformitate cu </w:t>
      </w:r>
      <w:r w:rsidR="001E6488" w:rsidRPr="008F69DA">
        <w:rPr>
          <w:lang w:val="ro-MD"/>
        </w:rPr>
        <w:t>capitolul II</w:t>
      </w:r>
      <w:r w:rsidRPr="008F0B56">
        <w:rPr>
          <w:lang w:val="ro-MD"/>
        </w:rPr>
        <w:t>, care sunt legate de riscul de credit aferent unei singure expuneri;</w:t>
      </w:r>
    </w:p>
    <w:p w14:paraId="60D1FE2E" w14:textId="10375DF1" w:rsidR="008F0B56" w:rsidRPr="008F0B56" w:rsidRDefault="008F0B56" w:rsidP="009E003D">
      <w:pPr>
        <w:pStyle w:val="ListParagraph"/>
        <w:ind w:left="567"/>
        <w:jc w:val="both"/>
        <w:rPr>
          <w:lang w:val="ro-MD"/>
        </w:rPr>
      </w:pPr>
      <w:r w:rsidRPr="008F0B56">
        <w:rPr>
          <w:lang w:val="ro-MD"/>
        </w:rPr>
        <w:t xml:space="preserve">2) sumele identificate ca ajustări specifice pentru riscul de credit în conformitate cu </w:t>
      </w:r>
      <w:r w:rsidR="001E6488" w:rsidRPr="008F69DA">
        <w:rPr>
          <w:lang w:val="ro-MD"/>
        </w:rPr>
        <w:t>capitolul II</w:t>
      </w:r>
      <w:r w:rsidRPr="008F0B56">
        <w:rPr>
          <w:lang w:val="ro-MD"/>
        </w:rPr>
        <w:t xml:space="preserve">, care sunt legate de riscul de credit aferent unui grup de expuneri și care au fost atribuite conform </w:t>
      </w:r>
      <w:r w:rsidR="001E6488" w:rsidRPr="008F69DA">
        <w:rPr>
          <w:lang w:val="ro-MD"/>
        </w:rPr>
        <w:t>capitolul</w:t>
      </w:r>
      <w:r w:rsidR="00ED728A">
        <w:rPr>
          <w:lang w:val="ro-MD"/>
        </w:rPr>
        <w:t>ui</w:t>
      </w:r>
      <w:r w:rsidR="001E6488" w:rsidRPr="008F69DA">
        <w:rPr>
          <w:lang w:val="ro-MD"/>
        </w:rPr>
        <w:t xml:space="preserve"> II</w:t>
      </w:r>
      <w:r w:rsidR="001E6488">
        <w:rPr>
          <w:lang w:val="ro-MD"/>
        </w:rPr>
        <w:t>I</w:t>
      </w:r>
      <w:r w:rsidRPr="008F0B56">
        <w:rPr>
          <w:lang w:val="ro-MD"/>
        </w:rPr>
        <w:t>.</w:t>
      </w:r>
    </w:p>
    <w:p w14:paraId="731121EB" w14:textId="1B31CB40" w:rsidR="008F0B56" w:rsidRPr="008F0B56" w:rsidRDefault="008F0B56" w:rsidP="009E003D">
      <w:pPr>
        <w:pStyle w:val="ListParagraph"/>
        <w:ind w:left="567" w:hanging="283"/>
        <w:jc w:val="both"/>
        <w:rPr>
          <w:lang w:val="ro-MD"/>
        </w:rPr>
      </w:pPr>
      <w:r w:rsidRPr="008F0B56">
        <w:rPr>
          <w:b/>
          <w:bCs/>
          <w:lang w:val="ro-MD"/>
        </w:rPr>
        <w:t>18.</w:t>
      </w:r>
      <w:r w:rsidRPr="008F0B56">
        <w:rPr>
          <w:lang w:val="ro-MD"/>
        </w:rPr>
        <w:t xml:space="preserve"> Totalul ajustărilor specifice pentru riscul de credit legate de o expunere în stare de nerambursare este egal fie cu suma tuturor valorilor reprezentând ajustări specifice pentru riscul de credit aferent acelei singure expuneri, fie cu valorile reprezentând ajustări specifice pentru riscul de credit pe care </w:t>
      </w:r>
      <w:r w:rsidR="001E6488">
        <w:rPr>
          <w:lang w:val="ro-MD"/>
        </w:rPr>
        <w:t>banca</w:t>
      </w:r>
      <w:r w:rsidRPr="008F0B56">
        <w:rPr>
          <w:lang w:val="ro-MD"/>
        </w:rPr>
        <w:t xml:space="preserve"> le-a atribuit expunerii respective conform </w:t>
      </w:r>
      <w:r w:rsidR="001E6488" w:rsidRPr="008F69DA">
        <w:rPr>
          <w:lang w:val="ro-MD"/>
        </w:rPr>
        <w:t>capitolul</w:t>
      </w:r>
      <w:r w:rsidR="00ED728A">
        <w:rPr>
          <w:lang w:val="ro-MD"/>
        </w:rPr>
        <w:t>ui</w:t>
      </w:r>
      <w:r w:rsidR="001E6488" w:rsidRPr="008F69DA">
        <w:rPr>
          <w:lang w:val="ro-MD"/>
        </w:rPr>
        <w:t xml:space="preserve"> II</w:t>
      </w:r>
      <w:r w:rsidR="001E6488">
        <w:rPr>
          <w:lang w:val="ro-MD"/>
        </w:rPr>
        <w:t>I</w:t>
      </w:r>
      <w:r w:rsidRPr="008F0B56">
        <w:rPr>
          <w:lang w:val="ro-MD"/>
        </w:rPr>
        <w:t>.</w:t>
      </w:r>
    </w:p>
    <w:p w14:paraId="270200DC" w14:textId="77777777" w:rsidR="0048218D" w:rsidRDefault="008F0B56" w:rsidP="009E003D">
      <w:pPr>
        <w:pStyle w:val="ListParagraph"/>
        <w:ind w:left="567" w:hanging="283"/>
        <w:jc w:val="both"/>
        <w:rPr>
          <w:lang w:val="ro-MD"/>
        </w:rPr>
      </w:pPr>
      <w:r w:rsidRPr="008F0B56">
        <w:rPr>
          <w:b/>
          <w:bCs/>
          <w:lang w:val="ro-MD"/>
        </w:rPr>
        <w:lastRenderedPageBreak/>
        <w:t>19.</w:t>
      </w:r>
      <w:r w:rsidRPr="008F0B56">
        <w:rPr>
          <w:lang w:val="ro-MD"/>
        </w:rPr>
        <w:t xml:space="preserve"> Băncile formalizează identificarea și calculul ajustărilor generale pentru riscul de credit și ajustărilor specifice pentru riscul de credit.</w:t>
      </w:r>
      <w:r>
        <w:rPr>
          <w:lang w:val="ro-MD"/>
        </w:rPr>
        <w:t>”.</w:t>
      </w:r>
    </w:p>
    <w:p w14:paraId="60954C76" w14:textId="77777777" w:rsidR="0048218D" w:rsidRDefault="0048218D" w:rsidP="0048218D">
      <w:pPr>
        <w:pStyle w:val="ListParagraph"/>
        <w:ind w:left="567"/>
        <w:jc w:val="both"/>
        <w:rPr>
          <w:bCs/>
          <w:lang w:val="ro-MD"/>
        </w:rPr>
      </w:pPr>
    </w:p>
    <w:p w14:paraId="34F37790" w14:textId="68BF669B" w:rsidR="00DD14D7" w:rsidRDefault="0048218D" w:rsidP="004B3773">
      <w:pPr>
        <w:jc w:val="both"/>
        <w:rPr>
          <w:rFonts w:ascii="Times New Roman" w:hAnsi="Times New Roman"/>
          <w:b/>
          <w:sz w:val="24"/>
          <w:szCs w:val="24"/>
          <w:lang w:val="ro-RO" w:eastAsia="ru-RU"/>
        </w:rPr>
      </w:pPr>
      <w:r w:rsidRPr="0048218D">
        <w:rPr>
          <w:rFonts w:ascii="Times New Roman" w:eastAsia="Times New Roman" w:hAnsi="Times New Roman"/>
          <w:b/>
          <w:sz w:val="24"/>
          <w:szCs w:val="24"/>
          <w:lang w:val="ro-MD" w:eastAsia="ru-RU"/>
        </w:rPr>
        <w:t>3.</w:t>
      </w:r>
      <w:r w:rsidRPr="0048218D">
        <w:rPr>
          <w:rFonts w:ascii="Times New Roman" w:hAnsi="Times New Roman"/>
          <w:bCs/>
          <w:sz w:val="24"/>
          <w:szCs w:val="24"/>
          <w:lang w:val="ro-MD"/>
        </w:rPr>
        <w:t xml:space="preserve"> </w:t>
      </w:r>
      <w:r w:rsidR="005D63F1" w:rsidRPr="005D63F1">
        <w:rPr>
          <w:rFonts w:ascii="Times New Roman" w:hAnsi="Times New Roman"/>
          <w:bCs/>
          <w:sz w:val="24"/>
          <w:szCs w:val="24"/>
          <w:lang w:val="ro-MD"/>
        </w:rPr>
        <w:t xml:space="preserve">Prezenta hotărâre intră în vigoare începând cu data de </w:t>
      </w:r>
      <w:r w:rsidR="000A377E">
        <w:rPr>
          <w:rFonts w:ascii="Times New Roman" w:hAnsi="Times New Roman"/>
          <w:bCs/>
          <w:sz w:val="24"/>
          <w:szCs w:val="24"/>
          <w:lang w:val="ro-MD"/>
        </w:rPr>
        <w:t xml:space="preserve">1 ianuarie </w:t>
      </w:r>
      <w:r w:rsidR="005D63F1" w:rsidRPr="005D63F1">
        <w:rPr>
          <w:rFonts w:ascii="Times New Roman" w:hAnsi="Times New Roman"/>
          <w:bCs/>
          <w:sz w:val="24"/>
          <w:szCs w:val="24"/>
          <w:lang w:val="ro-MD"/>
        </w:rPr>
        <w:t>202</w:t>
      </w:r>
      <w:r w:rsidR="005D63F1">
        <w:rPr>
          <w:rFonts w:ascii="Times New Roman" w:hAnsi="Times New Roman"/>
          <w:bCs/>
          <w:sz w:val="24"/>
          <w:szCs w:val="24"/>
          <w:lang w:val="ro-MD"/>
        </w:rPr>
        <w:t>7.</w:t>
      </w:r>
    </w:p>
    <w:sectPr w:rsidR="00DD14D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BE20" w14:textId="77777777" w:rsidR="004B3773" w:rsidRDefault="004B3773" w:rsidP="004B3773">
      <w:pPr>
        <w:spacing w:after="0" w:line="240" w:lineRule="auto"/>
      </w:pPr>
      <w:r>
        <w:separator/>
      </w:r>
    </w:p>
  </w:endnote>
  <w:endnote w:type="continuationSeparator" w:id="0">
    <w:p w14:paraId="6CC03B0F" w14:textId="77777777" w:rsidR="004B3773" w:rsidRDefault="004B3773" w:rsidP="004B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6022" w14:textId="4EDBEC45" w:rsidR="004B3773" w:rsidRDefault="004B3773">
    <w:pPr>
      <w:pStyle w:val="Footer"/>
    </w:pPr>
    <w:r>
      <w:rPr>
        <w:noProof/>
        <w14:ligatures w14:val="standardContextual"/>
      </w:rPr>
      <mc:AlternateContent>
        <mc:Choice Requires="wps">
          <w:drawing>
            <wp:anchor distT="0" distB="0" distL="0" distR="0" simplePos="0" relativeHeight="251662336" behindDoc="0" locked="0" layoutInCell="1" allowOverlap="1" wp14:anchorId="6603F572" wp14:editId="5AE3C7E4">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89D340" w14:textId="4279F82B"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3F572"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0089D340" w14:textId="4279F82B"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8F8" w14:textId="758F650C" w:rsidR="004B3773" w:rsidRPr="004B3773" w:rsidRDefault="004B3773">
    <w:pPr>
      <w:pStyle w:val="Footer"/>
      <w:jc w:val="right"/>
      <w:rPr>
        <w:rFonts w:ascii="Times New Roman" w:hAnsi="Times New Roman"/>
        <w:sz w:val="24"/>
        <w:szCs w:val="24"/>
      </w:rPr>
    </w:pPr>
    <w:r>
      <w:rPr>
        <w:noProof/>
        <w14:ligatures w14:val="standardContextual"/>
      </w:rPr>
      <mc:AlternateContent>
        <mc:Choice Requires="wps">
          <w:drawing>
            <wp:anchor distT="0" distB="0" distL="0" distR="0" simplePos="0" relativeHeight="251663360" behindDoc="0" locked="0" layoutInCell="1" allowOverlap="1" wp14:anchorId="1924855B" wp14:editId="5E027003">
              <wp:simplePos x="1076325" y="989647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F32E64" w14:textId="04478FD8" w:rsidR="004B3773" w:rsidRPr="004B3773" w:rsidRDefault="004B3773" w:rsidP="004B3773">
                          <w:pPr>
                            <w:spacing w:after="0"/>
                            <w:jc w:val="center"/>
                            <w:rPr>
                              <w:rFonts w:ascii="Times New Roman" w:hAnsi="Times New Roman"/>
                              <w:b/>
                              <w:bCs/>
                              <w:noProof/>
                              <w:color w:val="000000"/>
                              <w:sz w:val="16"/>
                              <w:szCs w:val="16"/>
                            </w:rPr>
                          </w:pPr>
                          <w:r w:rsidRPr="004B3773">
                            <w:rPr>
                              <w:rFonts w:ascii="Times New Roman" w:hAnsi="Times New Roman"/>
                              <w:b/>
                              <w:bCs/>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4855B" id="_x0000_t202" coordsize="21600,21600" o:spt="202" path="m,l,21600r21600,l21600,xe">
              <v:stroke joinstyle="miter"/>
              <v:path gradientshapeok="t" o:connecttype="rect"/>
            </v:shapetype>
            <v:shape id="Text Box 6" o:spid="_x0000_s1029" type="#_x0000_t202" alt="Atenţie! Se interzice deţinerea, sustragerea, alterarea, multiplicarea, distrugerea sau folosirea  acestui document fără a dispune de drept de acces autoriza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twhCgIAABwEAAAOAAAAZHJzL2Uyb0RvYy54bWysU01v2zAMvQ/YfxB0X+z0C50Rp8haZBgQ tAXSoWdFlmIDlihQSuzs14+S7Wbrdhp2kZ9Jih+PT4u73rTsqNA3YEs+n+WcKSuhauy+5N9f1p9u OfNB2Eq0YFXJT8rzu+XHD4vOFeoCamgrhYySWF90ruR1CK7IMi9rZYSfgVOWnBrQiEC/uM8qFB1l N212kec3WQdYOQSpvCfrw+Dky5RfayXDk9ZeBdaWnHoL6cR07uKZLRei2KNwdSPHNsQ/dGFEY6no W6oHEQQ7YPNHKtNIBA86zCSYDLRupEoz0DTz/N0021o4lWYhcrx7o8n/v7Ty8bh1z8hC/wV6WmAk pHO+8GSM8/QaTfxSp4z8ROHpjTbVBybJeHV1eXtzzZkk14gpS3a+7NCHrwoMi6DkSFtJZInjxoch dAqJtSysm7ZNm2ntbwbKGS3ZucOIQr/rWVOV/HLqfgfViYZCGPbtnVw3VHojfHgWSAumOUi04YkO 3UJXchgRZzXgj7/ZYzzxTl7OOhJMyS0pmrP2m6V9RG1NACewS2D+Ob/OyW8P5h5IhnN6EU4mSFYM 7QQ1gnklOa9iIXIJK6lcyXcTvA+Dcuk5SLVapSCSkRNhY7dOxtSRrsjlS/8q0I2EB9rUI0xqEsU7 3ofYeNO71SEQ+2kpkdqByJFxkmBa6/hcosZ//U9R50e9/Ak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WLcIQoCAAAcBAAADgAA AAAAAAAAAAAAAAAuAgAAZHJzL2Uyb0RvYy54bWxQSwECLQAUAAYACAAAACEAN+3R+NkAAAADAQAA DwAAAAAAAAAAAAAAAABkBAAAZHJzL2Rvd25yZXYueG1sUEsFBgAAAAAEAAQA8wAAAGoFAAAAAA== " filled="f" stroked="f">
              <v:textbox style="mso-fit-shape-to-text:t" inset="0,0,0,15pt">
                <w:txbxContent>
                  <w:p w14:paraId="58F32E64" w14:textId="04478FD8" w:rsidR="004B3773" w:rsidRPr="004B3773" w:rsidRDefault="004B3773" w:rsidP="004B3773">
                    <w:pPr>
                      <w:spacing w:after="0"/>
                      <w:jc w:val="center"/>
                      <w:rPr>
                        <w:rFonts w:ascii="Times New Roman" w:hAnsi="Times New Roman"/>
                        <w:b/>
                        <w:bCs/>
                        <w:noProof/>
                        <w:color w:val="000000"/>
                        <w:sz w:val="16"/>
                        <w:szCs w:val="16"/>
                      </w:rPr>
                    </w:pPr>
                    <w:r w:rsidRPr="004B3773">
                      <w:rPr>
                        <w:rFonts w:ascii="Times New Roman" w:hAnsi="Times New Roman"/>
                        <w:b/>
                        <w:bCs/>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sdt>
      <w:sdtPr>
        <w:id w:val="1911036780"/>
        <w:docPartObj>
          <w:docPartGallery w:val="Page Numbers (Bottom of Page)"/>
          <w:docPartUnique/>
        </w:docPartObj>
      </w:sdtPr>
      <w:sdtEndPr>
        <w:rPr>
          <w:rFonts w:ascii="Times New Roman" w:hAnsi="Times New Roman"/>
          <w:noProof/>
          <w:sz w:val="24"/>
          <w:szCs w:val="24"/>
        </w:rPr>
      </w:sdtEndPr>
      <w:sdtContent>
        <w:r w:rsidRPr="004B3773">
          <w:rPr>
            <w:rFonts w:ascii="Times New Roman" w:hAnsi="Times New Roman"/>
            <w:sz w:val="24"/>
            <w:szCs w:val="24"/>
          </w:rPr>
          <w:fldChar w:fldCharType="begin"/>
        </w:r>
        <w:r w:rsidRPr="004B3773">
          <w:rPr>
            <w:rFonts w:ascii="Times New Roman" w:hAnsi="Times New Roman"/>
            <w:sz w:val="24"/>
            <w:szCs w:val="24"/>
          </w:rPr>
          <w:instrText xml:space="preserve"> PAGE   \* MERGEFORMAT </w:instrText>
        </w:r>
        <w:r w:rsidRPr="004B3773">
          <w:rPr>
            <w:rFonts w:ascii="Times New Roman" w:hAnsi="Times New Roman"/>
            <w:sz w:val="24"/>
            <w:szCs w:val="24"/>
          </w:rPr>
          <w:fldChar w:fldCharType="separate"/>
        </w:r>
        <w:r w:rsidRPr="004B3773">
          <w:rPr>
            <w:rFonts w:ascii="Times New Roman" w:hAnsi="Times New Roman"/>
            <w:noProof/>
            <w:sz w:val="24"/>
            <w:szCs w:val="24"/>
          </w:rPr>
          <w:t>2</w:t>
        </w:r>
        <w:r w:rsidRPr="004B3773">
          <w:rPr>
            <w:rFonts w:ascii="Times New Roman" w:hAnsi="Times New Roman"/>
            <w:noProof/>
            <w:sz w:val="24"/>
            <w:szCs w:val="24"/>
          </w:rPr>
          <w:fldChar w:fldCharType="end"/>
        </w:r>
      </w:sdtContent>
    </w:sdt>
  </w:p>
  <w:p w14:paraId="60D83490" w14:textId="77777777" w:rsidR="004B3773" w:rsidRDefault="004B3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6B12" w14:textId="215BFE65" w:rsidR="004B3773" w:rsidRDefault="004B3773">
    <w:pPr>
      <w:pStyle w:val="Footer"/>
    </w:pPr>
    <w:r>
      <w:rPr>
        <w:noProof/>
        <w14:ligatures w14:val="standardContextual"/>
      </w:rPr>
      <mc:AlternateContent>
        <mc:Choice Requires="wps">
          <w:drawing>
            <wp:anchor distT="0" distB="0" distL="0" distR="0" simplePos="0" relativeHeight="251661312" behindDoc="0" locked="0" layoutInCell="1" allowOverlap="1" wp14:anchorId="613B2E86" wp14:editId="544AD7FA">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0221E" w14:textId="44B9B835"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B2E86" id="_x0000_t202" coordsize="21600,21600" o:spt="202" path="m,l,21600r21600,l21600,xe">
              <v:stroke joinstyle="miter"/>
              <v:path gradientshapeok="t" o:connecttype="rect"/>
            </v:shapetype>
            <v:shape id="Text Box 4" o:spid="_x0000_s1031"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4DD0221E" w14:textId="44B9B835" w:rsidR="004B3773" w:rsidRPr="004B3773" w:rsidRDefault="004B3773" w:rsidP="004B3773">
                    <w:pPr>
                      <w:spacing w:after="0"/>
                      <w:rPr>
                        <w:rFonts w:cs="Calibri"/>
                        <w:noProof/>
                        <w:color w:val="000000"/>
                        <w:sz w:val="16"/>
                        <w:szCs w:val="16"/>
                      </w:rPr>
                    </w:pPr>
                    <w:r w:rsidRPr="004B3773">
                      <w:rPr>
                        <w:rFonts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CFE8" w14:textId="77777777" w:rsidR="004B3773" w:rsidRDefault="004B3773" w:rsidP="004B3773">
      <w:pPr>
        <w:spacing w:after="0" w:line="240" w:lineRule="auto"/>
      </w:pPr>
      <w:r>
        <w:separator/>
      </w:r>
    </w:p>
  </w:footnote>
  <w:footnote w:type="continuationSeparator" w:id="0">
    <w:p w14:paraId="54AEEEB7" w14:textId="77777777" w:rsidR="004B3773" w:rsidRDefault="004B3773" w:rsidP="004B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F2F3" w14:textId="7253F2C1" w:rsidR="004B3773" w:rsidRDefault="004B3773">
    <w:pPr>
      <w:pStyle w:val="Header"/>
    </w:pPr>
    <w:r>
      <w:rPr>
        <w:noProof/>
        <w14:ligatures w14:val="standardContextual"/>
      </w:rPr>
      <mc:AlternateContent>
        <mc:Choice Requires="wps">
          <w:drawing>
            <wp:anchor distT="0" distB="0" distL="0" distR="0" simplePos="0" relativeHeight="251659264" behindDoc="0" locked="0" layoutInCell="1" allowOverlap="1" wp14:anchorId="1994C396" wp14:editId="2B8DCD5F">
              <wp:simplePos x="635" y="635"/>
              <wp:positionH relativeFrom="page">
                <wp:align>right</wp:align>
              </wp:positionH>
              <wp:positionV relativeFrom="page">
                <wp:align>top</wp:align>
              </wp:positionV>
              <wp:extent cx="443865" cy="443865"/>
              <wp:effectExtent l="0" t="0" r="0" b="14605"/>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7CA62" w14:textId="79EBDBC7"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94C396"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4407CA62" w14:textId="79EBDBC7"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EA87" w14:textId="4A9752E6" w:rsidR="004B3773" w:rsidRDefault="004B3773">
    <w:pPr>
      <w:pStyle w:val="Header"/>
    </w:pPr>
    <w:r>
      <w:rPr>
        <w:noProof/>
        <w14:ligatures w14:val="standardContextual"/>
      </w:rPr>
      <mc:AlternateContent>
        <mc:Choice Requires="wps">
          <w:drawing>
            <wp:anchor distT="0" distB="0" distL="0" distR="0" simplePos="0" relativeHeight="251660288" behindDoc="0" locked="0" layoutInCell="1" allowOverlap="1" wp14:anchorId="2A54207E" wp14:editId="3ACEB79B">
              <wp:simplePos x="1076325" y="447675"/>
              <wp:positionH relativeFrom="page">
                <wp:align>right</wp:align>
              </wp:positionH>
              <wp:positionV relativeFrom="page">
                <wp:align>top</wp:align>
              </wp:positionV>
              <wp:extent cx="443865" cy="443865"/>
              <wp:effectExtent l="0" t="0" r="0" b="14605"/>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CFA70" w14:textId="11D02958" w:rsidR="004B3773" w:rsidRPr="004B3773" w:rsidRDefault="004B3773" w:rsidP="004B3773">
                          <w:pPr>
                            <w:spacing w:after="0"/>
                            <w:rPr>
                              <w:rFonts w:ascii="Times New Roman" w:hAnsi="Times New Roman"/>
                              <w:b/>
                              <w:bCs/>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54207E"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0FBCFA70" w14:textId="11D02958" w:rsidR="004B3773" w:rsidRPr="004B3773" w:rsidRDefault="004B3773" w:rsidP="004B3773">
                    <w:pPr>
                      <w:spacing w:after="0"/>
                      <w:rPr>
                        <w:rFonts w:ascii="Times New Roman" w:hAnsi="Times New Roman"/>
                        <w:b/>
                        <w:bCs/>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CB2C" w14:textId="029E269D" w:rsidR="004B3773" w:rsidRDefault="004B3773">
    <w:pPr>
      <w:pStyle w:val="Header"/>
    </w:pPr>
    <w:r>
      <w:rPr>
        <w:noProof/>
        <w14:ligatures w14:val="standardContextual"/>
      </w:rPr>
      <mc:AlternateContent>
        <mc:Choice Requires="wps">
          <w:drawing>
            <wp:anchor distT="0" distB="0" distL="0" distR="0" simplePos="0" relativeHeight="251658240" behindDoc="0" locked="0" layoutInCell="1" allowOverlap="1" wp14:anchorId="083C06CB" wp14:editId="642600F1">
              <wp:simplePos x="635" y="635"/>
              <wp:positionH relativeFrom="page">
                <wp:align>right</wp:align>
              </wp:positionH>
              <wp:positionV relativeFrom="page">
                <wp:align>top</wp:align>
              </wp:positionV>
              <wp:extent cx="443865" cy="443865"/>
              <wp:effectExtent l="0" t="0" r="0" b="14605"/>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FA5D0" w14:textId="32D8E35F"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3C06CB" id="_x0000_t202" coordsize="21600,21600" o:spt="202" path="m,l,21600r21600,l21600,xe">
              <v:stroke joinstyle="miter"/>
              <v:path gradientshapeok="t" o:connecttype="rect"/>
            </v:shapetype>
            <v:shape id="Text Box 1" o:spid="_x0000_s1030"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458FA5D0" w14:textId="32D8E35F" w:rsidR="004B3773" w:rsidRPr="004B3773" w:rsidRDefault="004B3773" w:rsidP="004B3773">
                    <w:pPr>
                      <w:spacing w:after="0"/>
                      <w:rPr>
                        <w:rFonts w:cs="Calibri"/>
                        <w:noProof/>
                        <w:color w:val="000000"/>
                        <w:sz w:val="24"/>
                        <w:szCs w:val="24"/>
                      </w:rPr>
                    </w:pPr>
                    <w:r w:rsidRPr="004B3773">
                      <w:rPr>
                        <w:rFonts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5591"/>
    <w:multiLevelType w:val="multilevel"/>
    <w:tmpl w:val="53622C6C"/>
    <w:lvl w:ilvl="0">
      <w:start w:val="1"/>
      <w:numFmt w:val="decimal"/>
      <w:lvlText w:val="%1."/>
      <w:lvlJc w:val="left"/>
      <w:pPr>
        <w:ind w:left="927" w:hanging="360"/>
      </w:pPr>
      <w:rPr>
        <w:rFonts w:hint="default"/>
        <w:b/>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0BE50AE"/>
    <w:multiLevelType w:val="multilevel"/>
    <w:tmpl w:val="B55C20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5F402A"/>
    <w:multiLevelType w:val="hybridMultilevel"/>
    <w:tmpl w:val="4D3C54A0"/>
    <w:lvl w:ilvl="0" w:tplc="A98867DA">
      <w:start w:val="1"/>
      <w:numFmt w:val="decimal"/>
      <w:lvlText w:val="%1."/>
      <w:lvlJc w:val="left"/>
      <w:pPr>
        <w:ind w:left="927" w:hanging="360"/>
      </w:pPr>
      <w:rPr>
        <w:b/>
        <w:bCs/>
        <w:vertAlign w:val="baseline"/>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6F9A3AEA"/>
    <w:multiLevelType w:val="multilevel"/>
    <w:tmpl w:val="BB648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771750">
    <w:abstractNumId w:val="2"/>
  </w:num>
  <w:num w:numId="2" w16cid:durableId="1089619489">
    <w:abstractNumId w:val="3"/>
  </w:num>
  <w:num w:numId="3" w16cid:durableId="2013336207">
    <w:abstractNumId w:val="1"/>
  </w:num>
  <w:num w:numId="4" w16cid:durableId="1967006816">
    <w:abstractNumId w:val="0"/>
  </w:num>
  <w:num w:numId="5" w16cid:durableId="1932885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D7"/>
    <w:rsid w:val="0003770A"/>
    <w:rsid w:val="000A1EDF"/>
    <w:rsid w:val="000A377E"/>
    <w:rsid w:val="001318C5"/>
    <w:rsid w:val="001319DE"/>
    <w:rsid w:val="00156C12"/>
    <w:rsid w:val="001C52FD"/>
    <w:rsid w:val="001E6488"/>
    <w:rsid w:val="001F01FA"/>
    <w:rsid w:val="002464A3"/>
    <w:rsid w:val="002705B3"/>
    <w:rsid w:val="00287DC8"/>
    <w:rsid w:val="002E07FE"/>
    <w:rsid w:val="002F4BA6"/>
    <w:rsid w:val="0031209A"/>
    <w:rsid w:val="00341559"/>
    <w:rsid w:val="00346F59"/>
    <w:rsid w:val="00394998"/>
    <w:rsid w:val="003A7095"/>
    <w:rsid w:val="003B4A83"/>
    <w:rsid w:val="003D240F"/>
    <w:rsid w:val="003D7D1D"/>
    <w:rsid w:val="004106B4"/>
    <w:rsid w:val="00410D97"/>
    <w:rsid w:val="0045115A"/>
    <w:rsid w:val="00470AB3"/>
    <w:rsid w:val="0048218D"/>
    <w:rsid w:val="004B3773"/>
    <w:rsid w:val="004E74A7"/>
    <w:rsid w:val="00570CE4"/>
    <w:rsid w:val="00575D53"/>
    <w:rsid w:val="005D63F1"/>
    <w:rsid w:val="005F0D97"/>
    <w:rsid w:val="0061451E"/>
    <w:rsid w:val="00652C0E"/>
    <w:rsid w:val="006B4B0C"/>
    <w:rsid w:val="006C1DED"/>
    <w:rsid w:val="007156E2"/>
    <w:rsid w:val="007D7946"/>
    <w:rsid w:val="00812F4A"/>
    <w:rsid w:val="0087722A"/>
    <w:rsid w:val="008C64B5"/>
    <w:rsid w:val="008F0B56"/>
    <w:rsid w:val="008F69DA"/>
    <w:rsid w:val="00923B39"/>
    <w:rsid w:val="00974D97"/>
    <w:rsid w:val="009942D5"/>
    <w:rsid w:val="009D3201"/>
    <w:rsid w:val="009E003D"/>
    <w:rsid w:val="009E71E2"/>
    <w:rsid w:val="00A72E1E"/>
    <w:rsid w:val="00AB3208"/>
    <w:rsid w:val="00AC72ED"/>
    <w:rsid w:val="00BB4E0F"/>
    <w:rsid w:val="00BF5C59"/>
    <w:rsid w:val="00C435EB"/>
    <w:rsid w:val="00D213A1"/>
    <w:rsid w:val="00D44D2C"/>
    <w:rsid w:val="00D52AC7"/>
    <w:rsid w:val="00D60E72"/>
    <w:rsid w:val="00DC70B3"/>
    <w:rsid w:val="00DD14D7"/>
    <w:rsid w:val="00E06DCE"/>
    <w:rsid w:val="00E13788"/>
    <w:rsid w:val="00E60DD7"/>
    <w:rsid w:val="00E67B02"/>
    <w:rsid w:val="00E97E4E"/>
    <w:rsid w:val="00EB166E"/>
    <w:rsid w:val="00ED728A"/>
    <w:rsid w:val="00F21E97"/>
    <w:rsid w:val="00F313DE"/>
    <w:rsid w:val="00FA4A05"/>
    <w:rsid w:val="00FB52AC"/>
    <w:rsid w:val="00FB76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BC11CF"/>
  <w15:chartTrackingRefBased/>
  <w15:docId w15:val="{5105CB67-5D98-45F7-A416-BACA616E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D7"/>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4D7"/>
    <w:pPr>
      <w:spacing w:after="0" w:line="240" w:lineRule="auto"/>
      <w:ind w:left="720"/>
      <w:contextualSpacing/>
    </w:pPr>
    <w:rPr>
      <w:rFonts w:ascii="Times New Roman" w:eastAsia="Times New Roman" w:hAnsi="Times New Roman"/>
      <w:sz w:val="24"/>
      <w:szCs w:val="24"/>
      <w:lang w:val="ru-RU" w:eastAsia="ru-RU"/>
    </w:rPr>
  </w:style>
  <w:style w:type="paragraph" w:customStyle="1" w:styleId="CM4">
    <w:name w:val="CM4"/>
    <w:basedOn w:val="Normal"/>
    <w:next w:val="Normal"/>
    <w:uiPriority w:val="99"/>
    <w:rsid w:val="00DD14D7"/>
    <w:pPr>
      <w:autoSpaceDE w:val="0"/>
      <w:autoSpaceDN w:val="0"/>
      <w:adjustRightInd w:val="0"/>
      <w:spacing w:after="0" w:line="240" w:lineRule="auto"/>
    </w:pPr>
    <w:rPr>
      <w:rFonts w:ascii="EUAlbertina" w:eastAsia="Times New Roman" w:hAnsi="EUAlbertina"/>
      <w:sz w:val="24"/>
      <w:szCs w:val="24"/>
    </w:rPr>
  </w:style>
  <w:style w:type="paragraph" w:customStyle="1" w:styleId="title-division-12">
    <w:name w:val="title-division-12"/>
    <w:basedOn w:val="Normal"/>
    <w:rsid w:val="00DD14D7"/>
    <w:pPr>
      <w:spacing w:after="120" w:line="312" w:lineRule="atLeast"/>
      <w:jc w:val="center"/>
    </w:pPr>
    <w:rPr>
      <w:rFonts w:ascii="Times New Roman" w:eastAsia="Times New Roman" w:hAnsi="Times New Roman"/>
      <w:sz w:val="24"/>
      <w:szCs w:val="24"/>
    </w:rPr>
  </w:style>
  <w:style w:type="character" w:customStyle="1" w:styleId="acttart">
    <w:name w:val="act_tart"/>
    <w:uiPriority w:val="99"/>
    <w:rsid w:val="00DD14D7"/>
    <w:rPr>
      <w:rFonts w:ascii="Times New Roman" w:hAnsi="Times New Roman" w:cs="Times New Roman" w:hint="default"/>
    </w:rPr>
  </w:style>
  <w:style w:type="character" w:styleId="Strong">
    <w:name w:val="Strong"/>
    <w:basedOn w:val="DefaultParagraphFont"/>
    <w:uiPriority w:val="22"/>
    <w:qFormat/>
    <w:rsid w:val="00DD14D7"/>
    <w:rPr>
      <w:b/>
      <w:bCs/>
    </w:rPr>
  </w:style>
  <w:style w:type="paragraph" w:styleId="Header">
    <w:name w:val="header"/>
    <w:basedOn w:val="Normal"/>
    <w:link w:val="HeaderChar"/>
    <w:uiPriority w:val="99"/>
    <w:unhideWhenUsed/>
    <w:rsid w:val="004B377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B3773"/>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B377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B3773"/>
    <w:rPr>
      <w:rFonts w:ascii="Calibri" w:eastAsia="Calibri" w:hAnsi="Calibri" w:cs="Times New Roman"/>
      <w:kern w:val="0"/>
      <w:lang w:val="en-US"/>
      <w14:ligatures w14:val="none"/>
    </w:rPr>
  </w:style>
  <w:style w:type="paragraph" w:styleId="NormalWeb">
    <w:name w:val="Normal (Web)"/>
    <w:basedOn w:val="Normal"/>
    <w:uiPriority w:val="99"/>
    <w:semiHidden/>
    <w:unhideWhenUsed/>
    <w:rsid w:val="001F01FA"/>
    <w:rPr>
      <w:rFonts w:ascii="Times New Roman" w:hAnsi="Times New Roman"/>
      <w:sz w:val="24"/>
      <w:szCs w:val="24"/>
    </w:rPr>
  </w:style>
  <w:style w:type="character" w:styleId="CommentReference">
    <w:name w:val="annotation reference"/>
    <w:basedOn w:val="DefaultParagraphFont"/>
    <w:uiPriority w:val="99"/>
    <w:semiHidden/>
    <w:unhideWhenUsed/>
    <w:rsid w:val="0087722A"/>
    <w:rPr>
      <w:sz w:val="16"/>
      <w:szCs w:val="16"/>
    </w:rPr>
  </w:style>
  <w:style w:type="paragraph" w:styleId="CommentText">
    <w:name w:val="annotation text"/>
    <w:basedOn w:val="Normal"/>
    <w:link w:val="CommentTextChar"/>
    <w:uiPriority w:val="99"/>
    <w:unhideWhenUsed/>
    <w:rsid w:val="0087722A"/>
    <w:pPr>
      <w:spacing w:line="240" w:lineRule="auto"/>
    </w:pPr>
    <w:rPr>
      <w:sz w:val="20"/>
      <w:szCs w:val="20"/>
    </w:rPr>
  </w:style>
  <w:style w:type="character" w:customStyle="1" w:styleId="CommentTextChar">
    <w:name w:val="Comment Text Char"/>
    <w:basedOn w:val="DefaultParagraphFont"/>
    <w:link w:val="CommentText"/>
    <w:uiPriority w:val="99"/>
    <w:rsid w:val="0087722A"/>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7722A"/>
    <w:rPr>
      <w:b/>
      <w:bCs/>
    </w:rPr>
  </w:style>
  <w:style w:type="character" w:customStyle="1" w:styleId="CommentSubjectChar">
    <w:name w:val="Comment Subject Char"/>
    <w:basedOn w:val="CommentTextChar"/>
    <w:link w:val="CommentSubject"/>
    <w:uiPriority w:val="99"/>
    <w:semiHidden/>
    <w:rsid w:val="0087722A"/>
    <w:rPr>
      <w:rFonts w:ascii="Calibri" w:eastAsia="Calibri" w:hAnsi="Calibri" w:cs="Times New Roman"/>
      <w:b/>
      <w:bCs/>
      <w:kern w:val="0"/>
      <w:sz w:val="20"/>
      <w:szCs w:val="20"/>
      <w:lang w:val="en-US"/>
      <w14:ligatures w14:val="none"/>
    </w:rPr>
  </w:style>
  <w:style w:type="paragraph" w:styleId="Revision">
    <w:name w:val="Revision"/>
    <w:hidden/>
    <w:uiPriority w:val="99"/>
    <w:semiHidden/>
    <w:rsid w:val="00BB4E0F"/>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10859">
      <w:bodyDiv w:val="1"/>
      <w:marLeft w:val="0"/>
      <w:marRight w:val="0"/>
      <w:marTop w:val="0"/>
      <w:marBottom w:val="0"/>
      <w:divBdr>
        <w:top w:val="none" w:sz="0" w:space="0" w:color="auto"/>
        <w:left w:val="none" w:sz="0" w:space="0" w:color="auto"/>
        <w:bottom w:val="none" w:sz="0" w:space="0" w:color="auto"/>
        <w:right w:val="none" w:sz="0" w:space="0" w:color="auto"/>
      </w:divBdr>
    </w:div>
    <w:div w:id="1704477106">
      <w:bodyDiv w:val="1"/>
      <w:marLeft w:val="0"/>
      <w:marRight w:val="0"/>
      <w:marTop w:val="0"/>
      <w:marBottom w:val="0"/>
      <w:divBdr>
        <w:top w:val="none" w:sz="0" w:space="0" w:color="auto"/>
        <w:left w:val="none" w:sz="0" w:space="0" w:color="auto"/>
        <w:bottom w:val="none" w:sz="0" w:space="0" w:color="auto"/>
        <w:right w:val="none" w:sz="0" w:space="0" w:color="auto"/>
      </w:divBdr>
    </w:div>
    <w:div w:id="1724863142">
      <w:bodyDiv w:val="1"/>
      <w:marLeft w:val="0"/>
      <w:marRight w:val="0"/>
      <w:marTop w:val="0"/>
      <w:marBottom w:val="0"/>
      <w:divBdr>
        <w:top w:val="none" w:sz="0" w:space="0" w:color="auto"/>
        <w:left w:val="none" w:sz="0" w:space="0" w:color="auto"/>
        <w:bottom w:val="none" w:sz="0" w:space="0" w:color="auto"/>
        <w:right w:val="none" w:sz="0" w:space="0" w:color="auto"/>
      </w:divBdr>
    </w:div>
    <w:div w:id="17663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212C-EAF0-4D7B-A45F-0A439BB9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1614</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2025-11-10T09:28:00Z</dcterms:created>
  <dcterms:modified xsi:type="dcterms:W3CDTF">2025-11-11T16:14:00Z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2025-08-07T07:01:59Z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38db4f87-0cbd-48d2-8663-132367a82a2e</vt:lpwstr>
  </property>
  <property fmtid="{D5CDD505-2E9C-101B-9397-08002B2CF9AE}" pid="14" name="MSIP_Label_70108aff-3426-4749-9d04-de3a5077dcce_ContentBits">
    <vt:lpwstr>3</vt:lpwstr>
  </property>
</Properties>
</file>